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52" w:rsidRDefault="006C2052">
      <w:pPr>
        <w:pStyle w:val="a6"/>
        <w:ind w:left="0" w:right="0"/>
        <w:jc w:val="center"/>
        <w:rPr>
          <w:rFonts w:ascii="方正小标宋简体" w:eastAsia="方正小标宋简体" w:hint="eastAsia"/>
          <w:b/>
          <w:bCs/>
          <w:color w:val="FF0000"/>
          <w:spacing w:val="57"/>
          <w:sz w:val="64"/>
          <w:szCs w:val="64"/>
        </w:rPr>
      </w:pPr>
    </w:p>
    <w:p w:rsidR="00631DC0" w:rsidRPr="00C37FE2" w:rsidRDefault="00631DC0">
      <w:pPr>
        <w:pStyle w:val="a6"/>
        <w:ind w:left="0" w:right="0"/>
        <w:jc w:val="center"/>
        <w:rPr>
          <w:rFonts w:ascii="方正小标宋简体" w:eastAsia="方正小标宋简体" w:hint="eastAsia"/>
          <w:b/>
          <w:bCs/>
          <w:color w:val="FF0000"/>
          <w:sz w:val="72"/>
          <w:szCs w:val="72"/>
        </w:rPr>
      </w:pPr>
      <w:r w:rsidRPr="00C37FE2">
        <w:rPr>
          <w:rFonts w:ascii="方正小标宋简体" w:eastAsia="方正小标宋简体" w:hint="eastAsia"/>
          <w:b/>
          <w:bCs/>
          <w:color w:val="FF0000"/>
          <w:sz w:val="72"/>
          <w:szCs w:val="72"/>
        </w:rPr>
        <w:t>上海立信会计</w:t>
      </w:r>
      <w:r w:rsidR="001129E0" w:rsidRPr="00C37FE2">
        <w:rPr>
          <w:rFonts w:ascii="方正小标宋简体" w:eastAsia="方正小标宋简体" w:hint="eastAsia"/>
          <w:b/>
          <w:bCs/>
          <w:color w:val="FF0000"/>
          <w:sz w:val="72"/>
          <w:szCs w:val="72"/>
        </w:rPr>
        <w:t>金融</w:t>
      </w:r>
      <w:r w:rsidRPr="00C37FE2">
        <w:rPr>
          <w:rFonts w:ascii="方正小标宋简体" w:eastAsia="方正小标宋简体" w:hint="eastAsia"/>
          <w:b/>
          <w:bCs/>
          <w:color w:val="FF0000"/>
          <w:sz w:val="72"/>
          <w:szCs w:val="72"/>
        </w:rPr>
        <w:t>学院</w:t>
      </w:r>
      <w:r w:rsidR="000D28A4" w:rsidRPr="00C37FE2">
        <w:rPr>
          <w:rFonts w:ascii="方正小标宋简体" w:eastAsia="方正小标宋简体" w:hint="eastAsia"/>
          <w:b/>
          <w:bCs/>
          <w:color w:val="FF0000"/>
          <w:sz w:val="72"/>
          <w:szCs w:val="72"/>
        </w:rPr>
        <w:t>文件</w:t>
      </w:r>
    </w:p>
    <w:p w:rsidR="006C2052" w:rsidRPr="00631DC0" w:rsidRDefault="006C2052">
      <w:pPr>
        <w:pStyle w:val="a6"/>
        <w:ind w:left="0" w:right="0"/>
        <w:jc w:val="center"/>
        <w:rPr>
          <w:rFonts w:ascii="方正小标宋简体" w:eastAsia="方正小标宋简体" w:hint="eastAsia"/>
          <w:b/>
          <w:bCs/>
          <w:color w:val="FF0000"/>
          <w:spacing w:val="57"/>
          <w:sz w:val="64"/>
          <w:szCs w:val="64"/>
        </w:rPr>
      </w:pPr>
    </w:p>
    <w:p w:rsidR="00631DC0" w:rsidRPr="00C37FE2" w:rsidRDefault="00C37FE2">
      <w:pPr>
        <w:pStyle w:val="a6"/>
        <w:ind w:left="0" w:right="23"/>
        <w:jc w:val="center"/>
        <w:rPr>
          <w:rFonts w:ascii="仿宋_GB2312" w:hAnsi="华文楷体" w:hint="eastAsia"/>
        </w:rPr>
      </w:pPr>
      <w:bookmarkStart w:id="0" w:name="文件编号"/>
      <w:r w:rsidRPr="00C37FE2">
        <w:rPr>
          <w:rFonts w:ascii="仿宋_GB2312" w:hAnsi="华文楷体" w:hint="eastAsia"/>
        </w:rPr>
        <w:t>立信会计金融科〔2016〕3</w:t>
      </w:r>
      <w:bookmarkEnd w:id="0"/>
      <w:r w:rsidR="00631DC0" w:rsidRPr="00C37FE2">
        <w:rPr>
          <w:rFonts w:ascii="仿宋_GB2312" w:hAnsi="华文楷体" w:hint="eastAsia"/>
        </w:rPr>
        <w:t>号</w:t>
      </w:r>
    </w:p>
    <w:p w:rsidR="00631DC0" w:rsidRDefault="00631DC0">
      <w:pPr>
        <w:pStyle w:val="a6"/>
        <w:spacing w:line="300" w:lineRule="exact"/>
        <w:ind w:left="0" w:right="23"/>
        <w:rPr>
          <w:rFonts w:eastAsia="黑体" w:hint="eastAsia"/>
          <w:b/>
          <w:bCs/>
          <w:color w:val="FF0000"/>
        </w:rPr>
      </w:pPr>
      <w:r>
        <w:rPr>
          <w:rFonts w:eastAsia="黑体" w:hint="eastAsia"/>
          <w:b/>
          <w:bCs/>
          <w:color w:val="FF0000"/>
        </w:rPr>
        <w:t>———————————————————————————</w:t>
      </w:r>
    </w:p>
    <w:p w:rsidR="00C37FE2" w:rsidRDefault="00C37FE2" w:rsidP="004F4581">
      <w:pPr>
        <w:spacing w:line="560" w:lineRule="exact"/>
        <w:jc w:val="center"/>
        <w:rPr>
          <w:rFonts w:ascii="华文中宋" w:eastAsia="华文中宋" w:hAnsi="华文中宋" w:hint="eastAsia"/>
          <w:sz w:val="36"/>
          <w:szCs w:val="36"/>
        </w:rPr>
      </w:pPr>
      <w:bookmarkStart w:id="1" w:name="文件标题"/>
      <w:bookmarkEnd w:id="1"/>
    </w:p>
    <w:p w:rsidR="00C37FE2" w:rsidRDefault="00C37FE2" w:rsidP="004F4581">
      <w:pPr>
        <w:spacing w:line="560" w:lineRule="exact"/>
        <w:jc w:val="center"/>
        <w:rPr>
          <w:rFonts w:ascii="华文中宋" w:eastAsia="华文中宋" w:hAnsi="华文中宋" w:hint="eastAsia"/>
          <w:sz w:val="36"/>
          <w:szCs w:val="36"/>
        </w:rPr>
      </w:pPr>
    </w:p>
    <w:p w:rsidR="00C37FE2" w:rsidRPr="00E847D6" w:rsidRDefault="00C37FE2" w:rsidP="00C37FE2">
      <w:pPr>
        <w:spacing w:line="560" w:lineRule="exact"/>
        <w:jc w:val="center"/>
        <w:rPr>
          <w:rFonts w:ascii="方正小标宋简体" w:eastAsia="方正小标宋简体" w:hAnsi="宋体" w:hint="eastAsia"/>
          <w:sz w:val="44"/>
          <w:szCs w:val="44"/>
        </w:rPr>
      </w:pPr>
      <w:r w:rsidRPr="00E847D6">
        <w:rPr>
          <w:rFonts w:ascii="方正小标宋简体" w:eastAsia="方正小标宋简体" w:hAnsi="宋体" w:hint="eastAsia"/>
          <w:sz w:val="44"/>
          <w:szCs w:val="44"/>
        </w:rPr>
        <w:t>关于印发《上海立信会计金融学院</w:t>
      </w:r>
    </w:p>
    <w:p w:rsidR="00C37FE2" w:rsidRPr="00E847D6" w:rsidRDefault="00C37FE2" w:rsidP="00C37FE2">
      <w:pPr>
        <w:spacing w:line="560" w:lineRule="exact"/>
        <w:jc w:val="center"/>
        <w:rPr>
          <w:rFonts w:ascii="方正小标宋简体" w:eastAsia="方正小标宋简体" w:hAnsi="宋体" w:hint="eastAsia"/>
          <w:sz w:val="44"/>
          <w:szCs w:val="44"/>
        </w:rPr>
      </w:pPr>
      <w:r w:rsidRPr="00E24F61">
        <w:rPr>
          <w:rFonts w:ascii="方正小标宋简体" w:eastAsia="方正小标宋简体" w:hAnsi="宋体" w:hint="eastAsia"/>
          <w:sz w:val="44"/>
          <w:szCs w:val="44"/>
        </w:rPr>
        <w:t>研究机构管理办法（暂行）</w:t>
      </w:r>
      <w:r w:rsidRPr="00E847D6">
        <w:rPr>
          <w:rFonts w:ascii="方正小标宋简体" w:eastAsia="方正小标宋简体" w:hAnsi="宋体" w:hint="eastAsia"/>
          <w:sz w:val="44"/>
          <w:szCs w:val="44"/>
        </w:rPr>
        <w:t>》的通知</w:t>
      </w:r>
    </w:p>
    <w:p w:rsidR="00C37FE2" w:rsidRDefault="00C37FE2" w:rsidP="004F4581">
      <w:pPr>
        <w:spacing w:line="560" w:lineRule="exact"/>
        <w:rPr>
          <w:rFonts w:ascii="仿宋_GB2312" w:eastAsia="仿宋_GB2312" w:hint="eastAsia"/>
          <w:sz w:val="32"/>
          <w:szCs w:val="32"/>
        </w:rPr>
      </w:pPr>
    </w:p>
    <w:p w:rsidR="00C37FE2" w:rsidRPr="00E847D6" w:rsidRDefault="00C37FE2" w:rsidP="004F4581">
      <w:pPr>
        <w:spacing w:line="560" w:lineRule="exact"/>
        <w:rPr>
          <w:rFonts w:ascii="仿宋_GB2312" w:eastAsia="仿宋_GB2312" w:hAnsi="宋体" w:hint="eastAsia"/>
          <w:sz w:val="32"/>
          <w:szCs w:val="32"/>
        </w:rPr>
      </w:pPr>
      <w:r w:rsidRPr="00E847D6">
        <w:rPr>
          <w:rFonts w:ascii="仿宋_GB2312" w:eastAsia="仿宋_GB2312" w:hAnsi="宋体" w:hint="eastAsia"/>
          <w:sz w:val="32"/>
          <w:szCs w:val="32"/>
        </w:rPr>
        <w:t>各单位（部门）：</w:t>
      </w:r>
    </w:p>
    <w:p w:rsidR="00C37FE2" w:rsidRPr="00E847D6" w:rsidRDefault="00C37FE2" w:rsidP="004F4581">
      <w:pPr>
        <w:spacing w:line="560" w:lineRule="exact"/>
        <w:ind w:firstLineChars="200" w:firstLine="640"/>
        <w:rPr>
          <w:rFonts w:ascii="仿宋_GB2312" w:eastAsia="仿宋_GB2312" w:hAnsi="宋体" w:hint="eastAsia"/>
          <w:sz w:val="32"/>
          <w:szCs w:val="32"/>
        </w:rPr>
      </w:pPr>
      <w:r w:rsidRPr="00E847D6">
        <w:rPr>
          <w:rFonts w:ascii="仿宋_GB2312" w:eastAsia="仿宋_GB2312" w:hAnsi="宋体" w:hint="eastAsia"/>
          <w:sz w:val="32"/>
          <w:szCs w:val="32"/>
        </w:rPr>
        <w:t>《</w:t>
      </w:r>
      <w:r w:rsidRPr="00E24F61">
        <w:rPr>
          <w:rFonts w:ascii="仿宋_GB2312" w:eastAsia="仿宋_GB2312" w:hAnsi="宋体" w:hint="eastAsia"/>
          <w:sz w:val="32"/>
          <w:szCs w:val="32"/>
        </w:rPr>
        <w:t>上海立信会计金融学院研究机构管理办法（暂行）</w:t>
      </w:r>
      <w:r w:rsidRPr="00E847D6">
        <w:rPr>
          <w:rFonts w:ascii="仿宋_GB2312" w:eastAsia="仿宋_GB2312" w:hAnsi="宋体" w:hint="eastAsia"/>
          <w:sz w:val="32"/>
          <w:szCs w:val="32"/>
        </w:rPr>
        <w:t>》</w:t>
      </w:r>
      <w:r>
        <w:rPr>
          <w:rFonts w:ascii="仿宋_GB2312" w:eastAsia="仿宋_GB2312" w:hAnsi="宋体" w:hint="eastAsia"/>
          <w:sz w:val="32"/>
          <w:szCs w:val="32"/>
        </w:rPr>
        <w:t>已</w:t>
      </w:r>
      <w:r w:rsidRPr="00E847D6">
        <w:rPr>
          <w:rFonts w:ascii="仿宋_GB2312" w:eastAsia="仿宋_GB2312" w:hAnsi="宋体" w:hint="eastAsia"/>
          <w:sz w:val="32"/>
          <w:szCs w:val="32"/>
        </w:rPr>
        <w:t>经</w:t>
      </w:r>
      <w:r>
        <w:rPr>
          <w:rFonts w:ascii="仿宋_GB2312" w:eastAsia="仿宋_GB2312" w:hAnsi="宋体" w:hint="eastAsia"/>
          <w:sz w:val="32"/>
          <w:szCs w:val="32"/>
        </w:rPr>
        <w:t>2016年学校第5次</w:t>
      </w:r>
      <w:r w:rsidRPr="00E847D6">
        <w:rPr>
          <w:rFonts w:ascii="仿宋_GB2312" w:eastAsia="仿宋_GB2312" w:hAnsi="宋体" w:hint="eastAsia"/>
          <w:sz w:val="32"/>
          <w:szCs w:val="32"/>
        </w:rPr>
        <w:t>校长办公会</w:t>
      </w:r>
      <w:r>
        <w:rPr>
          <w:rFonts w:ascii="仿宋_GB2312" w:eastAsia="仿宋_GB2312" w:hAnsi="宋体" w:hint="eastAsia"/>
          <w:sz w:val="32"/>
          <w:szCs w:val="32"/>
        </w:rPr>
        <w:t>议审议通过，现予以印发</w:t>
      </w:r>
      <w:r w:rsidRPr="00E847D6">
        <w:rPr>
          <w:rFonts w:ascii="仿宋_GB2312" w:eastAsia="仿宋_GB2312" w:hAnsi="宋体" w:hint="eastAsia"/>
          <w:sz w:val="32"/>
          <w:szCs w:val="32"/>
        </w:rPr>
        <w:t>。</w:t>
      </w:r>
    </w:p>
    <w:p w:rsidR="00C37FE2" w:rsidRPr="006C7A3F" w:rsidRDefault="00C37FE2" w:rsidP="004F4581">
      <w:pPr>
        <w:spacing w:line="560" w:lineRule="exact"/>
        <w:ind w:firstLineChars="200" w:firstLine="640"/>
        <w:rPr>
          <w:rFonts w:ascii="仿宋_GB2312" w:eastAsia="仿宋_GB2312" w:hAnsi="宋体" w:hint="eastAsia"/>
          <w:sz w:val="32"/>
          <w:szCs w:val="32"/>
        </w:rPr>
      </w:pPr>
    </w:p>
    <w:p w:rsidR="00C37FE2" w:rsidRPr="00E847D6" w:rsidRDefault="00C37FE2" w:rsidP="004F4581">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附件:</w:t>
      </w:r>
      <w:r w:rsidRPr="00E24F61">
        <w:rPr>
          <w:rFonts w:ascii="仿宋_GB2312" w:eastAsia="仿宋_GB2312" w:hAnsi="宋体" w:hint="eastAsia"/>
          <w:sz w:val="32"/>
          <w:szCs w:val="32"/>
        </w:rPr>
        <w:t>上海立信会计金融学院研究机构管理办法（暂行）</w:t>
      </w:r>
    </w:p>
    <w:p w:rsidR="00C37FE2" w:rsidRPr="00E847D6" w:rsidRDefault="00C37FE2" w:rsidP="004F4581">
      <w:pPr>
        <w:spacing w:line="560" w:lineRule="exact"/>
        <w:ind w:firstLineChars="200" w:firstLine="640"/>
        <w:rPr>
          <w:rFonts w:ascii="仿宋_GB2312" w:eastAsia="仿宋_GB2312" w:hAnsi="宋体" w:hint="eastAsia"/>
          <w:sz w:val="32"/>
          <w:szCs w:val="32"/>
        </w:rPr>
      </w:pPr>
    </w:p>
    <w:p w:rsidR="00C37FE2" w:rsidRPr="00E847D6" w:rsidRDefault="000F746C" w:rsidP="004F4581">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noProof/>
          <w:sz w:val="32"/>
          <w:szCs w:val="32"/>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297.35pt;margin-top:607.8pt;width:119.25pt;height:119.25pt;z-index:-251658752;mso-position-horizontal-relative:page;mso-position-vertical-relative:page" stroked="f">
            <v:imagedata r:id="rId6" o:title=""/>
            <w10:wrap anchorx="page" anchory="page"/>
          </v:shape>
          <w:control r:id="rId7" w:name="SignatureCtrl1" w:shapeid="_x0000_s1027"/>
        </w:pict>
      </w:r>
    </w:p>
    <w:p w:rsidR="00C37FE2" w:rsidRPr="00E847D6" w:rsidRDefault="00C37FE2" w:rsidP="004F4581">
      <w:pPr>
        <w:spacing w:line="560" w:lineRule="exact"/>
        <w:ind w:firstLineChars="1200" w:firstLine="3840"/>
        <w:rPr>
          <w:rFonts w:ascii="仿宋_GB2312" w:eastAsia="仿宋_GB2312" w:hAnsi="宋体" w:hint="eastAsia"/>
          <w:sz w:val="32"/>
          <w:szCs w:val="32"/>
        </w:rPr>
      </w:pPr>
      <w:r w:rsidRPr="00E847D6">
        <w:rPr>
          <w:rFonts w:ascii="仿宋_GB2312" w:eastAsia="仿宋_GB2312" w:hAnsi="宋体" w:hint="eastAsia"/>
          <w:sz w:val="32"/>
          <w:szCs w:val="32"/>
        </w:rPr>
        <w:t>上海立信会计金融学院</w:t>
      </w:r>
    </w:p>
    <w:p w:rsidR="00C37FE2" w:rsidRDefault="00C37FE2" w:rsidP="00812D7C">
      <w:pPr>
        <w:spacing w:line="560" w:lineRule="exact"/>
        <w:ind w:firstLineChars="1300" w:firstLine="4160"/>
        <w:rPr>
          <w:rFonts w:ascii="仿宋_GB2312" w:eastAsia="仿宋_GB2312" w:hAnsi="宋体" w:hint="eastAsia"/>
          <w:sz w:val="32"/>
          <w:szCs w:val="32"/>
        </w:rPr>
      </w:pPr>
      <w:r>
        <w:rPr>
          <w:rFonts w:ascii="仿宋_GB2312" w:eastAsia="仿宋_GB2312" w:hAnsi="宋体" w:hint="eastAsia"/>
          <w:sz w:val="32"/>
          <w:szCs w:val="32"/>
        </w:rPr>
        <w:lastRenderedPageBreak/>
        <w:t>2016</w:t>
      </w:r>
      <w:r w:rsidRPr="00E847D6">
        <w:rPr>
          <w:rFonts w:ascii="仿宋_GB2312" w:eastAsia="仿宋_GB2312" w:hAnsi="宋体" w:hint="eastAsia"/>
          <w:sz w:val="32"/>
          <w:szCs w:val="32"/>
        </w:rPr>
        <w:t>年</w:t>
      </w:r>
      <w:r>
        <w:rPr>
          <w:rFonts w:ascii="仿宋_GB2312" w:eastAsia="仿宋_GB2312" w:hAnsi="宋体" w:hint="eastAsia"/>
          <w:sz w:val="32"/>
          <w:szCs w:val="32"/>
        </w:rPr>
        <w:t>10</w:t>
      </w:r>
      <w:r w:rsidRPr="00E847D6">
        <w:rPr>
          <w:rFonts w:ascii="仿宋_GB2312" w:eastAsia="仿宋_GB2312" w:hAnsi="宋体" w:hint="eastAsia"/>
          <w:sz w:val="32"/>
          <w:szCs w:val="32"/>
        </w:rPr>
        <w:t>月</w:t>
      </w:r>
      <w:r w:rsidR="00812D7C">
        <w:rPr>
          <w:rFonts w:ascii="仿宋_GB2312" w:eastAsia="仿宋_GB2312" w:hAnsi="宋体" w:hint="eastAsia"/>
          <w:sz w:val="32"/>
          <w:szCs w:val="32"/>
        </w:rPr>
        <w:t>20</w:t>
      </w:r>
      <w:r w:rsidRPr="00E847D6">
        <w:rPr>
          <w:rFonts w:ascii="仿宋_GB2312" w:eastAsia="仿宋_GB2312" w:hAnsi="宋体" w:hint="eastAsia"/>
          <w:sz w:val="32"/>
          <w:szCs w:val="32"/>
        </w:rPr>
        <w:t>日</w:t>
      </w:r>
    </w:p>
    <w:p w:rsidR="00C37FE2" w:rsidRDefault="00C37FE2" w:rsidP="00812D7C">
      <w:pPr>
        <w:spacing w:line="480" w:lineRule="exact"/>
        <w:rPr>
          <w:rFonts w:ascii="仿宋_GB2312" w:eastAsia="仿宋_GB2312" w:hAnsi="宋体" w:hint="eastAsia"/>
          <w:sz w:val="32"/>
          <w:szCs w:val="32"/>
        </w:rPr>
      </w:pPr>
      <w:r>
        <w:rPr>
          <w:rFonts w:ascii="仿宋_GB2312" w:eastAsia="仿宋_GB2312" w:hAnsi="宋体" w:hint="eastAsia"/>
          <w:sz w:val="32"/>
          <w:szCs w:val="32"/>
        </w:rPr>
        <w:t>附件：</w:t>
      </w:r>
    </w:p>
    <w:p w:rsidR="00C37FE2" w:rsidRPr="0033245D" w:rsidRDefault="00C37FE2" w:rsidP="00812D7C">
      <w:pPr>
        <w:spacing w:line="480" w:lineRule="exact"/>
        <w:ind w:firstLineChars="200" w:firstLine="640"/>
        <w:rPr>
          <w:rFonts w:ascii="仿宋_GB2312" w:eastAsia="仿宋_GB2312" w:hint="eastAsia"/>
          <w:sz w:val="32"/>
          <w:szCs w:val="32"/>
        </w:rPr>
      </w:pPr>
    </w:p>
    <w:p w:rsidR="00C37FE2" w:rsidRPr="00812D7C" w:rsidRDefault="00C37FE2" w:rsidP="00812D7C">
      <w:pPr>
        <w:spacing w:line="480" w:lineRule="exact"/>
        <w:jc w:val="center"/>
        <w:rPr>
          <w:rFonts w:ascii="方正小标宋简体" w:eastAsia="方正小标宋简体" w:hint="eastAsia"/>
          <w:spacing w:val="-16"/>
          <w:sz w:val="44"/>
          <w:szCs w:val="44"/>
        </w:rPr>
      </w:pPr>
      <w:r w:rsidRPr="00812D7C">
        <w:rPr>
          <w:rFonts w:ascii="方正小标宋简体" w:eastAsia="方正小标宋简体" w:hint="eastAsia"/>
          <w:spacing w:val="-16"/>
          <w:sz w:val="44"/>
          <w:szCs w:val="44"/>
        </w:rPr>
        <w:t>上海立信会计金融学院研究机构管理办法（暂行）</w:t>
      </w:r>
    </w:p>
    <w:p w:rsidR="00C37FE2" w:rsidRPr="0033245D" w:rsidRDefault="00C37FE2" w:rsidP="00812D7C">
      <w:pPr>
        <w:spacing w:line="480" w:lineRule="exact"/>
        <w:ind w:firstLineChars="200" w:firstLine="640"/>
        <w:rPr>
          <w:rFonts w:ascii="仿宋_GB2312" w:eastAsia="仿宋_GB2312" w:hint="eastAsia"/>
          <w:sz w:val="32"/>
          <w:szCs w:val="32"/>
        </w:rPr>
      </w:pPr>
    </w:p>
    <w:p w:rsidR="00C37FE2" w:rsidRPr="0033245D" w:rsidRDefault="00812D7C" w:rsidP="00812D7C">
      <w:pPr>
        <w:spacing w:line="480" w:lineRule="exact"/>
        <w:ind w:firstLineChars="200" w:firstLine="640"/>
        <w:rPr>
          <w:rFonts w:ascii="仿宋_GB2312" w:eastAsia="仿宋_GB2312" w:hint="eastAsia"/>
          <w:sz w:val="32"/>
          <w:szCs w:val="32"/>
        </w:rPr>
      </w:pPr>
      <w:r>
        <w:rPr>
          <w:rFonts w:ascii="仿宋_GB2312" w:eastAsia="仿宋_GB2312" w:hint="eastAsia"/>
          <w:sz w:val="32"/>
          <w:szCs w:val="32"/>
        </w:rPr>
        <w:t>为</w:t>
      </w:r>
      <w:r w:rsidR="00C37FE2" w:rsidRPr="0033245D">
        <w:rPr>
          <w:rFonts w:ascii="仿宋_GB2312" w:eastAsia="仿宋_GB2312" w:hint="eastAsia"/>
          <w:sz w:val="32"/>
          <w:szCs w:val="32"/>
        </w:rPr>
        <w:t>规范学校研究机构的建设与运行</w:t>
      </w:r>
      <w:r w:rsidR="00C37FE2" w:rsidRPr="0033245D">
        <w:rPr>
          <w:rFonts w:ascii="仿宋_GB2312" w:eastAsia="仿宋_GB2312"/>
          <w:sz w:val="32"/>
          <w:szCs w:val="32"/>
        </w:rPr>
        <w:t>管理</w:t>
      </w:r>
      <w:r w:rsidR="00C37FE2" w:rsidRPr="0033245D">
        <w:rPr>
          <w:rFonts w:ascii="仿宋_GB2312" w:eastAsia="仿宋_GB2312" w:hint="eastAsia"/>
          <w:sz w:val="32"/>
          <w:szCs w:val="32"/>
        </w:rPr>
        <w:t>，推动学校科研体制改革，充分发挥研究机构在服务于国家、地方经济社会发展重大战略需求和学校学科建设等方面的作用，根据学校实际，制订本办法。</w:t>
      </w:r>
    </w:p>
    <w:p w:rsidR="00C37FE2" w:rsidRPr="0033245D" w:rsidRDefault="00C37FE2" w:rsidP="00812D7C">
      <w:pPr>
        <w:spacing w:line="480" w:lineRule="exact"/>
        <w:jc w:val="center"/>
        <w:rPr>
          <w:rFonts w:ascii="黑体" w:eastAsia="黑体" w:hAnsi="黑体" w:hint="eastAsia"/>
          <w:sz w:val="32"/>
          <w:szCs w:val="32"/>
        </w:rPr>
      </w:pPr>
      <w:r w:rsidRPr="0033245D">
        <w:rPr>
          <w:rFonts w:ascii="黑体" w:eastAsia="黑体" w:hAnsi="黑体" w:hint="eastAsia"/>
          <w:sz w:val="32"/>
          <w:szCs w:val="32"/>
        </w:rPr>
        <w:t>第一章  总则</w:t>
      </w:r>
    </w:p>
    <w:p w:rsidR="00C37FE2" w:rsidRPr="0033245D" w:rsidRDefault="00C37FE2" w:rsidP="004D3E1D">
      <w:pPr>
        <w:spacing w:line="480" w:lineRule="exact"/>
        <w:ind w:firstLineChars="200" w:firstLine="640"/>
        <w:rPr>
          <w:rFonts w:ascii="仿宋_GB2312" w:eastAsia="仿宋_GB2312" w:hint="eastAsia"/>
          <w:sz w:val="32"/>
          <w:szCs w:val="32"/>
        </w:rPr>
      </w:pPr>
      <w:r w:rsidRPr="0033245D">
        <w:rPr>
          <w:rFonts w:ascii="仿宋_GB2312" w:eastAsia="仿宋_GB2312" w:hint="eastAsia"/>
          <w:b/>
          <w:sz w:val="32"/>
          <w:szCs w:val="32"/>
        </w:rPr>
        <w:t>第一条</w:t>
      </w:r>
      <w:r>
        <w:rPr>
          <w:rFonts w:ascii="仿宋_GB2312" w:eastAsia="仿宋_GB2312" w:hint="eastAsia"/>
          <w:sz w:val="32"/>
          <w:szCs w:val="32"/>
        </w:rPr>
        <w:t xml:space="preserve">  </w:t>
      </w:r>
      <w:r w:rsidRPr="0033245D">
        <w:rPr>
          <w:rFonts w:ascii="仿宋_GB2312" w:eastAsia="仿宋_GB2312" w:hint="eastAsia"/>
          <w:sz w:val="32"/>
          <w:szCs w:val="32"/>
        </w:rPr>
        <w:t>研究机构的定义</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本办法中的研究机构，分为独立建制的研究机构、非独立建制的校级研究平台、非校管研究机构三类。</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（一）独立建制的研究机构，指由上级部门批准设立或学校根据学科发展需要独立设置、由学校提供条件保障的研究机构。</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（二）非独立建制的校级研究平台，是由学校根据自身的发展定位以及政产学研重要专项合作设置、由学校提供条件保障的研究机构。</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（三）非校管研究机构，指由二级学院提出申请，经学校科研管理部门审查，学校批准设立，并由所在二级学院提供条件保障的研究机构。</w:t>
      </w:r>
    </w:p>
    <w:p w:rsidR="00C37FE2" w:rsidRPr="0033245D" w:rsidRDefault="00C37FE2" w:rsidP="004D3E1D">
      <w:pPr>
        <w:spacing w:line="480" w:lineRule="exact"/>
        <w:ind w:firstLineChars="200" w:firstLine="640"/>
        <w:rPr>
          <w:rFonts w:ascii="仿宋_GB2312" w:eastAsia="仿宋_GB2312" w:hint="eastAsia"/>
          <w:sz w:val="32"/>
          <w:szCs w:val="32"/>
        </w:rPr>
      </w:pPr>
      <w:r w:rsidRPr="0033245D">
        <w:rPr>
          <w:rFonts w:ascii="仿宋_GB2312" w:eastAsia="仿宋_GB2312" w:hint="eastAsia"/>
          <w:b/>
          <w:sz w:val="32"/>
          <w:szCs w:val="32"/>
        </w:rPr>
        <w:t>第二条</w:t>
      </w:r>
      <w:r w:rsidRPr="0033245D">
        <w:rPr>
          <w:rFonts w:ascii="仿宋_GB2312" w:eastAsia="仿宋_GB2312" w:hint="eastAsia"/>
          <w:sz w:val="32"/>
          <w:szCs w:val="32"/>
        </w:rPr>
        <w:t xml:space="preserve">  研究机构的设立原则</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（一）研究机构的宗旨应致力于服务国家战略，主动适应地方经济社会发展的需要。</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（二）研究机构的定位应与学校的学科发展方向相一致，</w:t>
      </w:r>
      <w:r w:rsidRPr="0033245D">
        <w:rPr>
          <w:rFonts w:ascii="仿宋_GB2312" w:eastAsia="仿宋_GB2312" w:hint="eastAsia"/>
          <w:sz w:val="32"/>
          <w:szCs w:val="32"/>
        </w:rPr>
        <w:lastRenderedPageBreak/>
        <w:t>主动对接学校学科建设，促进学校学科建设质量与水平的提高。</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（三）研究机构的功能应以科学研究为主，通过科研水平的提高来促进人才的培养和学术梯队的建立。</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（四）研究机构的规模应与承担的任务相适应，并须与教学工作相协调。</w:t>
      </w:r>
    </w:p>
    <w:p w:rsidR="00C37FE2" w:rsidRPr="0033245D" w:rsidRDefault="00C37FE2" w:rsidP="00812D7C">
      <w:pPr>
        <w:spacing w:line="480" w:lineRule="exact"/>
        <w:jc w:val="center"/>
        <w:rPr>
          <w:rFonts w:ascii="黑体" w:eastAsia="黑体" w:hAnsi="黑体" w:hint="eastAsia"/>
          <w:sz w:val="32"/>
          <w:szCs w:val="32"/>
        </w:rPr>
      </w:pPr>
      <w:r w:rsidRPr="0033245D">
        <w:rPr>
          <w:rFonts w:ascii="黑体" w:eastAsia="黑体" w:hAnsi="黑体" w:hint="eastAsia"/>
          <w:sz w:val="32"/>
          <w:szCs w:val="32"/>
        </w:rPr>
        <w:t>第二章  研究机构的设置与运行机制</w:t>
      </w:r>
    </w:p>
    <w:p w:rsidR="00C37FE2" w:rsidRPr="0033245D" w:rsidRDefault="00C37FE2" w:rsidP="004D3E1D">
      <w:pPr>
        <w:spacing w:line="480" w:lineRule="exact"/>
        <w:ind w:firstLineChars="200" w:firstLine="640"/>
        <w:rPr>
          <w:rFonts w:ascii="仿宋_GB2312" w:eastAsia="仿宋_GB2312" w:hint="eastAsia"/>
          <w:sz w:val="32"/>
          <w:szCs w:val="32"/>
        </w:rPr>
      </w:pPr>
      <w:r w:rsidRPr="0033245D">
        <w:rPr>
          <w:rFonts w:ascii="仿宋_GB2312" w:eastAsia="仿宋_GB2312" w:hint="eastAsia"/>
          <w:b/>
          <w:sz w:val="32"/>
          <w:szCs w:val="32"/>
        </w:rPr>
        <w:t>第三条</w:t>
      </w:r>
      <w:r w:rsidRPr="0033245D">
        <w:rPr>
          <w:rFonts w:eastAsia="仿宋_GB2312" w:hint="eastAsia"/>
          <w:sz w:val="32"/>
          <w:szCs w:val="32"/>
        </w:rPr>
        <w:t> </w:t>
      </w:r>
      <w:r w:rsidRPr="0033245D">
        <w:rPr>
          <w:rFonts w:ascii="仿宋_GB2312" w:eastAsia="仿宋_GB2312" w:hint="eastAsia"/>
          <w:sz w:val="32"/>
          <w:szCs w:val="32"/>
        </w:rPr>
        <w:t xml:space="preserve"> 研究机构的设置</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（一）独立建制的研究机构，按照机构建制进行设置。</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（二）非独立建制的校级研究平台，按照某一高端科研专项研究（合作）任务进行设置。</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（三）非校管研究机构的设置</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1.机构数量。二级学院研究机构的设置应与学科专业设置相匹配，各二级学院研究机构的设置原则上不超过2个。</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2.机构名称。各二级学院研究机构的名称可为“上海立信会计金融学院××研究中心（研究所）”。</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3.设置条件。有明确的研究方向和具体的研究任务，有一支结构合理的研究团队，有一定的前期研究成果，有持续的研究项目和经费来源。</w:t>
      </w:r>
    </w:p>
    <w:p w:rsidR="00C37FE2" w:rsidRPr="0033245D" w:rsidRDefault="00C37FE2" w:rsidP="004D3E1D">
      <w:pPr>
        <w:spacing w:line="480" w:lineRule="exact"/>
        <w:ind w:firstLineChars="200" w:firstLine="640"/>
        <w:rPr>
          <w:rFonts w:ascii="仿宋_GB2312" w:eastAsia="仿宋_GB2312" w:hint="eastAsia"/>
          <w:sz w:val="32"/>
          <w:szCs w:val="32"/>
        </w:rPr>
      </w:pPr>
      <w:r w:rsidRPr="0033245D">
        <w:rPr>
          <w:rFonts w:ascii="仿宋_GB2312" w:eastAsia="仿宋_GB2312" w:hint="eastAsia"/>
          <w:b/>
          <w:sz w:val="32"/>
          <w:szCs w:val="32"/>
        </w:rPr>
        <w:t>第四条</w:t>
      </w:r>
      <w:r w:rsidRPr="0033245D">
        <w:rPr>
          <w:rFonts w:ascii="仿宋_GB2312" w:eastAsia="仿宋_GB2312" w:hint="eastAsia"/>
          <w:sz w:val="32"/>
          <w:szCs w:val="32"/>
        </w:rPr>
        <w:t xml:space="preserve">  研究机构的设置程序</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（一）非校管研究机构由筹建单位（二级学院）向学校科研管理部门提出申请，学校科研管理部门进行初审，提交学校学术委员会讨论审议，由校长办公会议审批。</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（二）独立建制的研究机构和非独立建制的校级研究平台的设置由学校发文；非校管研究机构的设置由科研管理部门发文，并报学校备案。</w:t>
      </w:r>
    </w:p>
    <w:p w:rsidR="00C37FE2" w:rsidRPr="0033245D" w:rsidRDefault="00C37FE2" w:rsidP="004D3E1D">
      <w:pPr>
        <w:spacing w:line="480" w:lineRule="exact"/>
        <w:ind w:firstLineChars="200" w:firstLine="640"/>
        <w:rPr>
          <w:rFonts w:ascii="仿宋_GB2312" w:eastAsia="仿宋_GB2312" w:hint="eastAsia"/>
          <w:sz w:val="32"/>
          <w:szCs w:val="32"/>
        </w:rPr>
      </w:pPr>
      <w:r w:rsidRPr="0033245D">
        <w:rPr>
          <w:rFonts w:ascii="仿宋_GB2312" w:eastAsia="仿宋_GB2312" w:hint="eastAsia"/>
          <w:b/>
          <w:sz w:val="32"/>
          <w:szCs w:val="32"/>
        </w:rPr>
        <w:t>第五条</w:t>
      </w:r>
      <w:r w:rsidRPr="0033245D">
        <w:rPr>
          <w:rFonts w:ascii="仿宋_GB2312" w:eastAsia="仿宋_GB2312" w:hint="eastAsia"/>
          <w:sz w:val="32"/>
          <w:szCs w:val="32"/>
        </w:rPr>
        <w:t xml:space="preserve">  研究机构的经费</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独立建制的研究机构和非独立建制的校级研究平台的运行经费，列入学校年度预算。</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非校管研究机构的运行经费，列入二级学院年度预算。非校管研究机构成立当年，学校给予一定的启动经费支持。</w:t>
      </w:r>
    </w:p>
    <w:p w:rsidR="00C37FE2" w:rsidRPr="0033245D" w:rsidRDefault="00C37FE2" w:rsidP="00812D7C">
      <w:pPr>
        <w:spacing w:line="480" w:lineRule="exact"/>
        <w:jc w:val="center"/>
        <w:rPr>
          <w:rFonts w:ascii="黑体" w:eastAsia="黑体" w:hAnsi="黑体" w:hint="eastAsia"/>
          <w:sz w:val="32"/>
          <w:szCs w:val="32"/>
        </w:rPr>
      </w:pPr>
      <w:bookmarkStart w:id="2" w:name="9263854-9597506-2"/>
      <w:bookmarkEnd w:id="2"/>
      <w:r w:rsidRPr="0033245D">
        <w:rPr>
          <w:rFonts w:ascii="黑体" w:eastAsia="黑体" w:hAnsi="黑体" w:hint="eastAsia"/>
          <w:sz w:val="32"/>
          <w:szCs w:val="32"/>
        </w:rPr>
        <w:t>第三章  研究机构的职责</w:t>
      </w:r>
    </w:p>
    <w:p w:rsidR="00C37FE2" w:rsidRPr="0033245D" w:rsidRDefault="00C37FE2" w:rsidP="004D3E1D">
      <w:pPr>
        <w:spacing w:line="480" w:lineRule="exact"/>
        <w:ind w:firstLineChars="200" w:firstLine="640"/>
        <w:rPr>
          <w:rFonts w:ascii="仿宋_GB2312" w:eastAsia="仿宋_GB2312" w:hint="eastAsia"/>
          <w:sz w:val="32"/>
          <w:szCs w:val="32"/>
        </w:rPr>
      </w:pPr>
      <w:r w:rsidRPr="0033245D">
        <w:rPr>
          <w:rFonts w:ascii="仿宋_GB2312" w:eastAsia="仿宋_GB2312" w:hint="eastAsia"/>
          <w:b/>
          <w:sz w:val="32"/>
          <w:szCs w:val="32"/>
        </w:rPr>
        <w:t>第六条</w:t>
      </w:r>
      <w:r w:rsidRPr="0033245D">
        <w:rPr>
          <w:rFonts w:eastAsia="仿宋_GB2312" w:hint="eastAsia"/>
          <w:sz w:val="32"/>
          <w:szCs w:val="32"/>
        </w:rPr>
        <w:t> </w:t>
      </w:r>
      <w:r w:rsidRPr="0033245D">
        <w:rPr>
          <w:rFonts w:ascii="仿宋_GB2312" w:eastAsia="仿宋_GB2312" w:hint="eastAsia"/>
          <w:sz w:val="32"/>
          <w:szCs w:val="32"/>
        </w:rPr>
        <w:t xml:space="preserve"> 独立建制的研究机构的主要职责</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（一）根据国家和地方经济社会发展的需要，瞄准学科前沿和经济社会发展的重大问题，开展创新性研究，获取原始创新成果和自主知识产权。</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（二）接受相关单位的委托开展研究与开发，加强研究机构研究成果的应用与转化，为产业技术创新、社会发展提供技术服务。</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（三）培养、聚集相关领域学术带头人和创新团队，促进相关学科的发展。</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（四）加大对外开放力度，开展多种形式的国际、国内合作与交流，促进相关领域的发展。</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（五）建立专业数据库、出版学术刊物（含以书代刊）或发布年度白皮书（服务政府决策咨询专类）。</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（六）承担上级及学校赋予的专项任务。</w:t>
      </w:r>
    </w:p>
    <w:p w:rsidR="00C37FE2" w:rsidRPr="0033245D" w:rsidRDefault="00C37FE2" w:rsidP="004D3E1D">
      <w:pPr>
        <w:spacing w:line="480" w:lineRule="exact"/>
        <w:ind w:firstLineChars="200" w:firstLine="640"/>
        <w:rPr>
          <w:rFonts w:ascii="仿宋_GB2312" w:eastAsia="仿宋_GB2312" w:hint="eastAsia"/>
          <w:sz w:val="32"/>
          <w:szCs w:val="32"/>
        </w:rPr>
      </w:pPr>
      <w:r w:rsidRPr="00644B4A">
        <w:rPr>
          <w:rFonts w:ascii="仿宋_GB2312" w:eastAsia="仿宋_GB2312" w:hint="eastAsia"/>
          <w:b/>
          <w:sz w:val="32"/>
          <w:szCs w:val="32"/>
        </w:rPr>
        <w:t>第七条</w:t>
      </w:r>
      <w:r>
        <w:rPr>
          <w:rFonts w:ascii="仿宋_GB2312" w:eastAsia="仿宋_GB2312" w:hint="eastAsia"/>
          <w:sz w:val="32"/>
          <w:szCs w:val="32"/>
        </w:rPr>
        <w:t xml:space="preserve">  </w:t>
      </w:r>
      <w:r w:rsidRPr="0033245D">
        <w:rPr>
          <w:rFonts w:ascii="仿宋_GB2312" w:eastAsia="仿宋_GB2312" w:hint="eastAsia"/>
          <w:sz w:val="32"/>
          <w:szCs w:val="32"/>
        </w:rPr>
        <w:t>非独立建制的校级研究平台的主要职责</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（一）与合作单位联合开展研究与开发，注重研究成果在新业态、新产业发展中的应用与转化。</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（二）承接政府部门、行业企业的专项项目，为企业行业发展和产业技术创新提供服务，为政府部门提供高水平的决策咨询。</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（三）聚集相关领域专家学者和创新团队，促进学校相关学科的发展。</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（四）承担学校和合作单位赋予的专项任务。</w:t>
      </w:r>
    </w:p>
    <w:p w:rsidR="00C37FE2" w:rsidRPr="0033245D" w:rsidRDefault="00C37FE2" w:rsidP="004D3E1D">
      <w:pPr>
        <w:spacing w:line="480" w:lineRule="exact"/>
        <w:ind w:firstLineChars="200" w:firstLine="640"/>
        <w:rPr>
          <w:rFonts w:ascii="仿宋_GB2312" w:eastAsia="仿宋_GB2312" w:hint="eastAsia"/>
          <w:sz w:val="32"/>
          <w:szCs w:val="32"/>
        </w:rPr>
      </w:pPr>
      <w:r w:rsidRPr="00644B4A">
        <w:rPr>
          <w:rFonts w:ascii="仿宋_GB2312" w:eastAsia="仿宋_GB2312" w:hint="eastAsia"/>
          <w:b/>
          <w:sz w:val="32"/>
          <w:szCs w:val="32"/>
        </w:rPr>
        <w:t>第八条</w:t>
      </w:r>
      <w:r>
        <w:rPr>
          <w:rFonts w:ascii="仿宋_GB2312" w:eastAsia="仿宋_GB2312" w:hint="eastAsia"/>
          <w:sz w:val="32"/>
          <w:szCs w:val="32"/>
        </w:rPr>
        <w:t xml:space="preserve">  </w:t>
      </w:r>
      <w:r w:rsidRPr="0033245D">
        <w:rPr>
          <w:rFonts w:ascii="仿宋_GB2312" w:eastAsia="仿宋_GB2312" w:hint="eastAsia"/>
          <w:sz w:val="32"/>
          <w:szCs w:val="32"/>
        </w:rPr>
        <w:t>非校管研究机构的主要职责由二级学院单独制定，并在章程中明确。</w:t>
      </w:r>
    </w:p>
    <w:p w:rsidR="00C37FE2" w:rsidRPr="00644B4A" w:rsidRDefault="00C37FE2" w:rsidP="00812D7C">
      <w:pPr>
        <w:spacing w:line="480" w:lineRule="exact"/>
        <w:jc w:val="center"/>
        <w:rPr>
          <w:rFonts w:ascii="黑体" w:eastAsia="黑体" w:hAnsi="黑体" w:hint="eastAsia"/>
          <w:sz w:val="32"/>
          <w:szCs w:val="32"/>
        </w:rPr>
      </w:pPr>
      <w:bookmarkStart w:id="3" w:name="9263854-9597506-3"/>
      <w:bookmarkEnd w:id="3"/>
      <w:r w:rsidRPr="00644B4A">
        <w:rPr>
          <w:rFonts w:ascii="黑体" w:eastAsia="黑体" w:hAnsi="黑体" w:hint="eastAsia"/>
          <w:sz w:val="32"/>
          <w:szCs w:val="32"/>
        </w:rPr>
        <w:t>第四章</w:t>
      </w:r>
      <w:r>
        <w:rPr>
          <w:rFonts w:ascii="黑体" w:eastAsia="黑体" w:hAnsi="黑体" w:hint="eastAsia"/>
          <w:sz w:val="32"/>
          <w:szCs w:val="32"/>
        </w:rPr>
        <w:t xml:space="preserve">  </w:t>
      </w:r>
      <w:r w:rsidRPr="00644B4A">
        <w:rPr>
          <w:rFonts w:ascii="黑体" w:eastAsia="黑体" w:hAnsi="黑体" w:hint="eastAsia"/>
          <w:sz w:val="32"/>
          <w:szCs w:val="32"/>
        </w:rPr>
        <w:t>研究机构的管理</w:t>
      </w:r>
    </w:p>
    <w:p w:rsidR="00C37FE2" w:rsidRPr="0033245D" w:rsidRDefault="00C37FE2" w:rsidP="004D3E1D">
      <w:pPr>
        <w:spacing w:line="480" w:lineRule="exact"/>
        <w:ind w:firstLineChars="200" w:firstLine="640"/>
        <w:rPr>
          <w:rFonts w:ascii="仿宋_GB2312" w:eastAsia="仿宋_GB2312" w:hint="eastAsia"/>
          <w:sz w:val="32"/>
          <w:szCs w:val="32"/>
        </w:rPr>
      </w:pPr>
      <w:r>
        <w:rPr>
          <w:rFonts w:ascii="仿宋_GB2312" w:eastAsia="仿宋_GB2312" w:hint="eastAsia"/>
          <w:b/>
          <w:sz w:val="32"/>
          <w:szCs w:val="32"/>
        </w:rPr>
        <w:t>第九</w:t>
      </w:r>
      <w:r w:rsidRPr="00644B4A">
        <w:rPr>
          <w:rFonts w:ascii="仿宋_GB2312" w:eastAsia="仿宋_GB2312" w:hint="eastAsia"/>
          <w:b/>
          <w:sz w:val="32"/>
          <w:szCs w:val="32"/>
        </w:rPr>
        <w:t>条</w:t>
      </w:r>
      <w:r>
        <w:rPr>
          <w:rFonts w:ascii="仿宋_GB2312" w:eastAsia="仿宋_GB2312" w:hint="eastAsia"/>
          <w:sz w:val="32"/>
          <w:szCs w:val="32"/>
        </w:rPr>
        <w:t xml:space="preserve">  </w:t>
      </w:r>
      <w:r w:rsidRPr="0033245D">
        <w:rPr>
          <w:rFonts w:ascii="仿宋_GB2312" w:eastAsia="仿宋_GB2312" w:hint="eastAsia"/>
          <w:sz w:val="32"/>
          <w:szCs w:val="32"/>
        </w:rPr>
        <w:t>研究机构的归属与管理</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（一）学校为独立建制的研究机构和非独立建制的校级研究平台提供必要的管理人员编制、设备和办公用房等条件。</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（二）非校管研究机构由所依托的二级学院负责管理，负责人由所属学院选任，并在机构章程中予以明确，学校科研管理部门负责业务指导。</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（三）学校鼓励和支持二级学院与政府部门、企业行业联合设置研究机构，并采取多元运行管理方式。</w:t>
      </w:r>
    </w:p>
    <w:p w:rsidR="00C37FE2" w:rsidRPr="0033245D" w:rsidRDefault="00C37FE2" w:rsidP="004D3E1D">
      <w:pPr>
        <w:spacing w:line="480" w:lineRule="exact"/>
        <w:ind w:firstLineChars="200" w:firstLine="640"/>
        <w:rPr>
          <w:rFonts w:ascii="仿宋_GB2312" w:eastAsia="仿宋_GB2312" w:hint="eastAsia"/>
          <w:sz w:val="32"/>
          <w:szCs w:val="32"/>
        </w:rPr>
      </w:pPr>
      <w:r w:rsidRPr="00E67434">
        <w:rPr>
          <w:rFonts w:ascii="仿宋_GB2312" w:eastAsia="仿宋_GB2312" w:hint="eastAsia"/>
          <w:b/>
          <w:sz w:val="32"/>
          <w:szCs w:val="32"/>
        </w:rPr>
        <w:t>第十条</w:t>
      </w:r>
      <w:r w:rsidRPr="0033245D">
        <w:rPr>
          <w:rFonts w:ascii="仿宋_GB2312" w:eastAsia="仿宋_GB2312" w:hint="eastAsia"/>
          <w:sz w:val="32"/>
          <w:szCs w:val="32"/>
        </w:rPr>
        <w:t xml:space="preserve">  独立建制的研究机构的管理人员与研究人员</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（一）管理人员为学校在编人员，管理人员编制由学校核定。</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二）研究人员由专职研究人员与流动研究人员组成。专职研究人员为学校在编人员，原则上独立建制的研究机构设3个专职研究人员岗位（研究机构可根据工作任务和工作目标，向学校提出增加专职研究人员岗位的申请）；流动研究人员与研究机构签订以项目和研究任务为导向的工作合同，包括学校相关单位（部门）在编教师和非在编研究人员。</w:t>
      </w:r>
    </w:p>
    <w:p w:rsidR="00C37FE2" w:rsidRPr="0033245D" w:rsidRDefault="00C37FE2" w:rsidP="004D3E1D">
      <w:pPr>
        <w:spacing w:line="480" w:lineRule="exact"/>
        <w:ind w:firstLineChars="200" w:firstLine="640"/>
        <w:rPr>
          <w:rFonts w:ascii="仿宋_GB2312" w:eastAsia="仿宋_GB2312" w:hint="eastAsia"/>
          <w:sz w:val="32"/>
          <w:szCs w:val="32"/>
        </w:rPr>
      </w:pPr>
      <w:r w:rsidRPr="00E67434">
        <w:rPr>
          <w:rFonts w:ascii="仿宋_GB2312" w:eastAsia="仿宋_GB2312" w:hint="eastAsia"/>
          <w:b/>
          <w:sz w:val="32"/>
          <w:szCs w:val="32"/>
        </w:rPr>
        <w:t>第十一条</w:t>
      </w:r>
      <w:r w:rsidRPr="0033245D">
        <w:rPr>
          <w:rFonts w:ascii="仿宋_GB2312" w:eastAsia="仿宋_GB2312" w:hint="eastAsia"/>
          <w:sz w:val="32"/>
          <w:szCs w:val="32"/>
        </w:rPr>
        <w:t xml:space="preserve"> </w:t>
      </w:r>
      <w:r>
        <w:rPr>
          <w:rFonts w:ascii="仿宋_GB2312" w:eastAsia="仿宋_GB2312" w:hint="eastAsia"/>
          <w:sz w:val="32"/>
          <w:szCs w:val="32"/>
        </w:rPr>
        <w:t xml:space="preserve"> </w:t>
      </w:r>
      <w:r w:rsidRPr="0033245D">
        <w:rPr>
          <w:rFonts w:ascii="仿宋_GB2312" w:eastAsia="仿宋_GB2312" w:hint="eastAsia"/>
          <w:sz w:val="32"/>
          <w:szCs w:val="32"/>
        </w:rPr>
        <w:t>非独立建制的校级研究平台的管理</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（一）非独立建制的校级研究平台实行理事会制。</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（二）平台的管理人员由校内外人员构成，校内管理人员为学校在编人员，校外人员由理事会授权平台外聘。</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（三）平台不设专职研究人员岗位，研究人员全部为流动研究人员。流动研究人员与研究平台签订以项目为导向的工作合同。</w:t>
      </w:r>
    </w:p>
    <w:p w:rsidR="00C37FE2" w:rsidRPr="00E67434" w:rsidRDefault="00C37FE2" w:rsidP="00812D7C">
      <w:pPr>
        <w:spacing w:line="480" w:lineRule="exact"/>
        <w:jc w:val="center"/>
        <w:rPr>
          <w:rFonts w:ascii="黑体" w:eastAsia="黑体" w:hAnsi="黑体" w:hint="eastAsia"/>
          <w:sz w:val="32"/>
          <w:szCs w:val="32"/>
        </w:rPr>
      </w:pPr>
      <w:bookmarkStart w:id="4" w:name="9263854-9597506-4"/>
      <w:bookmarkStart w:id="5" w:name="9263854-9597506-5"/>
      <w:bookmarkEnd w:id="4"/>
      <w:bookmarkEnd w:id="5"/>
      <w:r w:rsidRPr="00E67434">
        <w:rPr>
          <w:rFonts w:ascii="黑体" w:eastAsia="黑体" w:hAnsi="黑体" w:hint="eastAsia"/>
          <w:sz w:val="32"/>
          <w:szCs w:val="32"/>
        </w:rPr>
        <w:t>第五章  考核与评估</w:t>
      </w:r>
    </w:p>
    <w:p w:rsidR="00C37FE2" w:rsidRPr="0033245D" w:rsidRDefault="00C37FE2" w:rsidP="004D3E1D">
      <w:pPr>
        <w:spacing w:line="480" w:lineRule="exact"/>
        <w:ind w:firstLineChars="200" w:firstLine="640"/>
        <w:rPr>
          <w:rFonts w:ascii="仿宋_GB2312" w:eastAsia="仿宋_GB2312" w:hint="eastAsia"/>
          <w:sz w:val="32"/>
          <w:szCs w:val="32"/>
        </w:rPr>
      </w:pPr>
      <w:r w:rsidRPr="00E67434">
        <w:rPr>
          <w:rFonts w:ascii="仿宋_GB2312" w:eastAsia="仿宋_GB2312" w:hint="eastAsia"/>
          <w:b/>
          <w:sz w:val="32"/>
          <w:szCs w:val="32"/>
        </w:rPr>
        <w:t>第十二条</w:t>
      </w:r>
      <w:r w:rsidRPr="0033245D">
        <w:rPr>
          <w:rFonts w:eastAsia="仿宋_GB2312" w:hint="eastAsia"/>
          <w:sz w:val="32"/>
          <w:szCs w:val="32"/>
        </w:rPr>
        <w:t> </w:t>
      </w:r>
      <w:r w:rsidRPr="0033245D">
        <w:rPr>
          <w:rFonts w:ascii="仿宋_GB2312" w:eastAsia="仿宋_GB2312" w:hint="eastAsia"/>
          <w:sz w:val="32"/>
          <w:szCs w:val="32"/>
        </w:rPr>
        <w:t xml:space="preserve"> 考核部门或单位</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学校负责对独立建制的研究机构和非独立建制的校级研究平台进行考核评估。</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二级学院负责对非校管研究机构进行考核评估。</w:t>
      </w:r>
    </w:p>
    <w:p w:rsidR="00C37FE2" w:rsidRPr="0033245D" w:rsidRDefault="00C37FE2" w:rsidP="004D3E1D">
      <w:pPr>
        <w:spacing w:line="480" w:lineRule="exact"/>
        <w:ind w:firstLineChars="200" w:firstLine="640"/>
        <w:rPr>
          <w:rFonts w:ascii="仿宋_GB2312" w:eastAsia="仿宋_GB2312" w:hint="eastAsia"/>
          <w:sz w:val="32"/>
          <w:szCs w:val="32"/>
        </w:rPr>
      </w:pPr>
      <w:r w:rsidRPr="00E67434">
        <w:rPr>
          <w:rFonts w:ascii="仿宋_GB2312" w:eastAsia="仿宋_GB2312" w:hint="eastAsia"/>
          <w:b/>
          <w:sz w:val="32"/>
          <w:szCs w:val="32"/>
        </w:rPr>
        <w:t>第十三条</w:t>
      </w:r>
      <w:r w:rsidRPr="0033245D">
        <w:rPr>
          <w:rFonts w:eastAsia="仿宋_GB2312" w:hint="eastAsia"/>
          <w:sz w:val="32"/>
          <w:szCs w:val="32"/>
        </w:rPr>
        <w:t> </w:t>
      </w:r>
      <w:r w:rsidRPr="0033245D">
        <w:rPr>
          <w:rFonts w:ascii="仿宋_GB2312" w:eastAsia="仿宋_GB2312" w:hint="eastAsia"/>
          <w:sz w:val="32"/>
          <w:szCs w:val="32"/>
        </w:rPr>
        <w:t xml:space="preserve"> 考核方式与内容</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（一）对独立建制的研究机构，学校每年进行一次检查，每三年进行一次评估。考核的主要内容为：学术梯队、科学研究、成果转化、学术交流、社会服务、国际合作、机制创新等。</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（二）对非独立建制的校级研究平台，学校每年进行一次检查。检查的主要内容为：平台的社会影响力、平台的社会贡献力、平台运行的有效性。</w:t>
      </w:r>
    </w:p>
    <w:p w:rsidR="00C37FE2" w:rsidRPr="0033245D" w:rsidRDefault="00C37FE2" w:rsidP="00812D7C">
      <w:pPr>
        <w:spacing w:line="480" w:lineRule="exact"/>
        <w:ind w:firstLineChars="200" w:firstLine="640"/>
        <w:rPr>
          <w:rFonts w:ascii="仿宋_GB2312" w:eastAsia="仿宋_GB2312" w:hint="eastAsia"/>
          <w:sz w:val="32"/>
          <w:szCs w:val="32"/>
        </w:rPr>
      </w:pPr>
      <w:r w:rsidRPr="0033245D">
        <w:rPr>
          <w:rFonts w:ascii="仿宋_GB2312" w:eastAsia="仿宋_GB2312" w:hint="eastAsia"/>
          <w:sz w:val="32"/>
          <w:szCs w:val="32"/>
        </w:rPr>
        <w:t>（三）对非校管研究机构考核评估的方式与内容，由二级学院根据研究机构设置与建设方案进行设定。</w:t>
      </w:r>
    </w:p>
    <w:p w:rsidR="00C37FE2" w:rsidRPr="00E67434" w:rsidRDefault="00C37FE2" w:rsidP="004D3E1D">
      <w:pPr>
        <w:spacing w:line="480" w:lineRule="exact"/>
        <w:ind w:firstLineChars="200" w:firstLine="640"/>
        <w:rPr>
          <w:rFonts w:ascii="仿宋_GB2312" w:eastAsia="仿宋_GB2312" w:hint="eastAsia"/>
          <w:sz w:val="32"/>
          <w:szCs w:val="32"/>
        </w:rPr>
      </w:pPr>
      <w:r w:rsidRPr="00E67434">
        <w:rPr>
          <w:rFonts w:ascii="仿宋_GB2312" w:eastAsia="仿宋_GB2312" w:hint="eastAsia"/>
          <w:b/>
          <w:sz w:val="32"/>
          <w:szCs w:val="32"/>
        </w:rPr>
        <w:t>第十四条</w:t>
      </w:r>
      <w:r>
        <w:rPr>
          <w:rFonts w:ascii="仿宋_GB2312" w:eastAsia="仿宋_GB2312" w:hint="eastAsia"/>
          <w:sz w:val="32"/>
          <w:szCs w:val="32"/>
        </w:rPr>
        <w:t xml:space="preserve">  </w:t>
      </w:r>
      <w:r w:rsidRPr="0033245D">
        <w:rPr>
          <w:rFonts w:ascii="仿宋_GB2312" w:eastAsia="仿宋_GB2312" w:hint="eastAsia"/>
          <w:sz w:val="32"/>
          <w:szCs w:val="32"/>
        </w:rPr>
        <w:t>学校在编的专职研究人员的考核标准，由学校另行规定；流动研究人员的考核标准，在聘任合同中进行约定。</w:t>
      </w:r>
    </w:p>
    <w:p w:rsidR="00C37FE2" w:rsidRPr="00E67434" w:rsidRDefault="00C37FE2" w:rsidP="000F746C">
      <w:pPr>
        <w:spacing w:line="480" w:lineRule="exact"/>
        <w:jc w:val="center"/>
        <w:rPr>
          <w:rFonts w:ascii="黑体" w:eastAsia="黑体" w:hAnsi="黑体" w:hint="eastAsia"/>
          <w:sz w:val="32"/>
          <w:szCs w:val="32"/>
        </w:rPr>
      </w:pPr>
      <w:r w:rsidRPr="00E67434">
        <w:rPr>
          <w:rFonts w:ascii="黑体" w:eastAsia="黑体" w:hAnsi="黑体" w:hint="eastAsia"/>
          <w:sz w:val="32"/>
          <w:szCs w:val="32"/>
        </w:rPr>
        <w:t>第六章  附则</w:t>
      </w:r>
    </w:p>
    <w:p w:rsidR="00631DC0" w:rsidRDefault="00C37FE2" w:rsidP="004D3E1D">
      <w:pPr>
        <w:spacing w:line="480" w:lineRule="exact"/>
        <w:ind w:firstLineChars="200" w:firstLine="640"/>
        <w:rPr>
          <w:rFonts w:ascii="仿宋_GB2312" w:eastAsia="仿宋_GB2312" w:hint="eastAsia"/>
          <w:sz w:val="32"/>
          <w:szCs w:val="32"/>
        </w:rPr>
      </w:pPr>
      <w:r w:rsidRPr="00E67434">
        <w:rPr>
          <w:rFonts w:ascii="仿宋_GB2312" w:eastAsia="仿宋_GB2312" w:hint="eastAsia"/>
          <w:b/>
          <w:sz w:val="32"/>
          <w:szCs w:val="32"/>
        </w:rPr>
        <w:t>第十五条</w:t>
      </w:r>
      <w:r>
        <w:rPr>
          <w:rFonts w:ascii="仿宋_GB2312" w:eastAsia="仿宋_GB2312" w:hint="eastAsia"/>
          <w:sz w:val="32"/>
          <w:szCs w:val="32"/>
        </w:rPr>
        <w:t xml:space="preserve">  </w:t>
      </w:r>
      <w:r w:rsidRPr="0033245D">
        <w:rPr>
          <w:rFonts w:ascii="仿宋_GB2312" w:eastAsia="仿宋_GB2312" w:hint="eastAsia"/>
          <w:sz w:val="32"/>
          <w:szCs w:val="32"/>
        </w:rPr>
        <w:t>本办法自颁布之日起实施，由校科研处负责解释。</w:t>
      </w:r>
      <w:bookmarkStart w:id="6" w:name="9263854-9597506-6"/>
      <w:bookmarkEnd w:id="6"/>
    </w:p>
    <w:p w:rsidR="001A5F3A" w:rsidRDefault="001A5F3A" w:rsidP="000F746C">
      <w:pPr>
        <w:spacing w:line="480" w:lineRule="exact"/>
        <w:rPr>
          <w:rFonts w:ascii="仿宋_GB2312" w:eastAsia="仿宋_GB2312" w:hint="eastAsia"/>
          <w:sz w:val="32"/>
          <w:szCs w:val="32"/>
        </w:rPr>
      </w:pPr>
    </w:p>
    <w:p w:rsidR="001A5F3A" w:rsidRDefault="001A5F3A" w:rsidP="000F746C">
      <w:pPr>
        <w:spacing w:line="480" w:lineRule="exact"/>
        <w:rPr>
          <w:rFonts w:ascii="仿宋_GB2312" w:eastAsia="仿宋_GB2312" w:hint="eastAsia"/>
          <w:sz w:val="32"/>
          <w:szCs w:val="32"/>
        </w:rPr>
      </w:pPr>
    </w:p>
    <w:p w:rsidR="001A5F3A" w:rsidRDefault="001A5F3A" w:rsidP="000F746C">
      <w:pPr>
        <w:spacing w:line="480" w:lineRule="exact"/>
        <w:rPr>
          <w:rFonts w:ascii="仿宋_GB2312" w:eastAsia="仿宋_GB2312" w:hint="eastAsia"/>
          <w:sz w:val="32"/>
          <w:szCs w:val="32"/>
        </w:rPr>
      </w:pPr>
    </w:p>
    <w:p w:rsidR="001A5F3A" w:rsidRPr="00B6466F" w:rsidRDefault="001A5F3A" w:rsidP="001A5F3A">
      <w:pPr>
        <w:pStyle w:val="a9"/>
        <w:kinsoku w:val="0"/>
        <w:overflowPunct w:val="0"/>
        <w:autoSpaceDE w:val="0"/>
        <w:autoSpaceDN w:val="0"/>
        <w:adjustRightInd w:val="0"/>
        <w:spacing w:line="480" w:lineRule="exact"/>
        <w:ind w:firstLine="0"/>
        <w:rPr>
          <w:rFonts w:ascii="仿宋_GB2312" w:hint="eastAsia"/>
          <w:szCs w:val="32"/>
        </w:rPr>
      </w:pPr>
    </w:p>
    <w:tbl>
      <w:tblPr>
        <w:tblW w:w="0" w:type="auto"/>
        <w:tblBorders>
          <w:top w:val="single" w:sz="12" w:space="0" w:color="auto"/>
          <w:bottom w:val="single" w:sz="12" w:space="0" w:color="auto"/>
        </w:tblBorders>
        <w:tblLook w:val="01E0"/>
      </w:tblPr>
      <w:tblGrid>
        <w:gridCol w:w="8947"/>
      </w:tblGrid>
      <w:tr w:rsidR="001A5F3A" w:rsidRPr="008B200B" w:rsidTr="00AB1576">
        <w:tc>
          <w:tcPr>
            <w:tcW w:w="9061" w:type="dxa"/>
          </w:tcPr>
          <w:p w:rsidR="001A5F3A" w:rsidRPr="008B200B" w:rsidRDefault="001A5F3A" w:rsidP="00AB1576">
            <w:pPr>
              <w:tabs>
                <w:tab w:val="center" w:pos="4153"/>
                <w:tab w:val="right" w:pos="8306"/>
              </w:tabs>
              <w:snapToGrid w:val="0"/>
              <w:spacing w:line="560" w:lineRule="exact"/>
              <w:ind w:firstLineChars="50" w:firstLine="150"/>
              <w:rPr>
                <w:rFonts w:ascii="仿宋_GB2312" w:eastAsia="仿宋_GB2312" w:hint="eastAsia"/>
                <w:sz w:val="30"/>
                <w:szCs w:val="30"/>
              </w:rPr>
            </w:pPr>
            <w:r w:rsidRPr="008B200B">
              <w:rPr>
                <w:rFonts w:ascii="仿宋_GB2312" w:eastAsia="仿宋_GB2312" w:hint="eastAsia"/>
                <w:sz w:val="30"/>
                <w:szCs w:val="30"/>
              </w:rPr>
              <w:t>上海立信会计金融学院校长办公室</w:t>
            </w:r>
            <w:r>
              <w:rPr>
                <w:rFonts w:ascii="仿宋_GB2312" w:eastAsia="仿宋_GB2312" w:hint="eastAsia"/>
                <w:sz w:val="30"/>
                <w:szCs w:val="30"/>
              </w:rPr>
              <w:t xml:space="preserve">   </w:t>
            </w:r>
            <w:r w:rsidRPr="008B200B">
              <w:rPr>
                <w:rFonts w:ascii="仿宋_GB2312" w:eastAsia="仿宋_GB2312" w:hint="eastAsia"/>
                <w:sz w:val="30"/>
                <w:szCs w:val="30"/>
              </w:rPr>
              <w:t xml:space="preserve"> </w:t>
            </w:r>
            <w:r>
              <w:rPr>
                <w:rFonts w:ascii="仿宋_GB2312" w:eastAsia="仿宋_GB2312" w:hint="eastAsia"/>
                <w:sz w:val="30"/>
                <w:szCs w:val="30"/>
              </w:rPr>
              <w:t xml:space="preserve"> </w:t>
            </w:r>
            <w:r w:rsidRPr="008B200B">
              <w:rPr>
                <w:rFonts w:ascii="仿宋_GB2312" w:eastAsia="仿宋_GB2312" w:hint="eastAsia"/>
                <w:sz w:val="30"/>
                <w:szCs w:val="30"/>
              </w:rPr>
              <w:t xml:space="preserve"> 2016年</w:t>
            </w:r>
            <w:r>
              <w:rPr>
                <w:rFonts w:ascii="仿宋_GB2312" w:eastAsia="仿宋_GB2312" w:hint="eastAsia"/>
                <w:sz w:val="30"/>
                <w:szCs w:val="30"/>
              </w:rPr>
              <w:t>10</w:t>
            </w:r>
            <w:r w:rsidRPr="008B200B">
              <w:rPr>
                <w:rFonts w:ascii="仿宋_GB2312" w:eastAsia="仿宋_GB2312" w:hint="eastAsia"/>
                <w:sz w:val="30"/>
                <w:szCs w:val="30"/>
              </w:rPr>
              <w:t>月</w:t>
            </w:r>
            <w:r>
              <w:rPr>
                <w:rFonts w:ascii="仿宋_GB2312" w:eastAsia="仿宋_GB2312" w:hint="eastAsia"/>
                <w:sz w:val="30"/>
                <w:szCs w:val="30"/>
              </w:rPr>
              <w:t>21</w:t>
            </w:r>
            <w:r w:rsidRPr="008B200B">
              <w:rPr>
                <w:rFonts w:ascii="仿宋_GB2312" w:eastAsia="仿宋_GB2312" w:hint="eastAsia"/>
                <w:sz w:val="30"/>
                <w:szCs w:val="30"/>
              </w:rPr>
              <w:t>日印发</w:t>
            </w:r>
          </w:p>
        </w:tc>
      </w:tr>
    </w:tbl>
    <w:p w:rsidR="001A5F3A" w:rsidRPr="001A5F3A" w:rsidRDefault="001A5F3A" w:rsidP="001A5F3A">
      <w:pPr>
        <w:spacing w:line="20" w:lineRule="exact"/>
        <w:ind w:firstLineChars="200" w:firstLine="640"/>
        <w:rPr>
          <w:rFonts w:ascii="仿宋_GB2312" w:eastAsia="仿宋_GB2312" w:hint="eastAsia"/>
          <w:sz w:val="32"/>
          <w:szCs w:val="32"/>
        </w:rPr>
      </w:pPr>
    </w:p>
    <w:sectPr w:rsidR="001A5F3A" w:rsidRPr="001A5F3A">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5" w:left="1588" w:header="851" w:footer="1588" w:gutter="113"/>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576" w:rsidRDefault="00AB1576">
      <w:r>
        <w:separator/>
      </w:r>
    </w:p>
  </w:endnote>
  <w:endnote w:type="continuationSeparator" w:id="1">
    <w:p w:rsidR="00AB1576" w:rsidRDefault="00AB1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ˎ̥">
    <w:altName w:val="Times New Roman"/>
    <w:charset w:val="00"/>
    <w:family w:val="roman"/>
    <w:pitch w:val="default"/>
    <w:sig w:usb0="00000000" w:usb1="00000000" w:usb2="00000000"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DC0" w:rsidRDefault="00631DC0">
    <w:pPr>
      <w:pStyle w:val="a7"/>
      <w:framePr w:w="2162" w:h="0" w:wrap="around" w:vAnchor="text" w:hAnchor="page" w:x="1522" w:y="-2"/>
      <w:ind w:firstLineChars="100" w:firstLine="280"/>
      <w:rPr>
        <w:rStyle w:val="a3"/>
        <w:rFonts w:ascii="仿宋_GB2312" w:hint="eastAsia"/>
        <w:sz w:val="28"/>
      </w:rPr>
    </w:pPr>
    <w:r>
      <w:rPr>
        <w:rStyle w:val="a3"/>
        <w:rFonts w:ascii="仿宋_GB2312" w:hint="eastAsia"/>
        <w:sz w:val="28"/>
      </w:rPr>
      <w:t>—</w:t>
    </w:r>
    <w:r>
      <w:rPr>
        <w:rStyle w:val="a3"/>
        <w:rFonts w:ascii="仿宋_GB2312" w:hint="eastAsia"/>
        <w:sz w:val="28"/>
      </w:rPr>
      <w:t xml:space="preserve"> </w:t>
    </w:r>
    <w:r>
      <w:rPr>
        <w:rFonts w:ascii="仿宋_GB2312"/>
        <w:sz w:val="28"/>
      </w:rPr>
      <w:fldChar w:fldCharType="begin"/>
    </w:r>
    <w:r>
      <w:rPr>
        <w:rStyle w:val="a3"/>
        <w:rFonts w:ascii="仿宋_GB2312"/>
        <w:sz w:val="28"/>
      </w:rPr>
      <w:instrText xml:space="preserve">PAGE  </w:instrText>
    </w:r>
    <w:r>
      <w:rPr>
        <w:rFonts w:ascii="仿宋_GB2312"/>
        <w:sz w:val="28"/>
      </w:rPr>
      <w:fldChar w:fldCharType="separate"/>
    </w:r>
    <w:r>
      <w:rPr>
        <w:rStyle w:val="a3"/>
        <w:rFonts w:ascii="仿宋_GB2312"/>
        <w:sz w:val="28"/>
        <w:lang w:val="en-US" w:eastAsia="zh-CN"/>
      </w:rPr>
      <w:t>2</w:t>
    </w:r>
    <w:r>
      <w:rPr>
        <w:rFonts w:ascii="仿宋_GB2312"/>
        <w:sz w:val="28"/>
      </w:rPr>
      <w:fldChar w:fldCharType="end"/>
    </w:r>
    <w:r>
      <w:rPr>
        <w:rStyle w:val="a3"/>
        <w:rFonts w:ascii="仿宋_GB2312" w:hint="eastAsia"/>
        <w:sz w:val="28"/>
      </w:rPr>
      <w:t xml:space="preserve"> </w:t>
    </w:r>
    <w:r>
      <w:rPr>
        <w:rStyle w:val="a3"/>
        <w:rFonts w:ascii="仿宋_GB2312" w:hint="eastAsia"/>
        <w:sz w:val="28"/>
      </w:rPr>
      <w:t>—</w:t>
    </w:r>
  </w:p>
  <w:p w:rsidR="00631DC0" w:rsidRDefault="00631DC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AC" w:rsidRDefault="00877EAC" w:rsidP="00877EAC">
    <w:pPr>
      <w:pStyle w:val="a7"/>
      <w:framePr w:wrap="around" w:vAnchor="text" w:hAnchor="margin" w:xAlign="outside" w:y="1"/>
      <w:rPr>
        <w:rStyle w:val="a3"/>
        <w:rFonts w:hint="eastAsia"/>
        <w:sz w:val="28"/>
      </w:rPr>
    </w:pPr>
    <w:r>
      <w:rPr>
        <w:rStyle w:val="a3"/>
        <w:rFonts w:hint="eastAsia"/>
        <w:sz w:val="28"/>
      </w:rPr>
      <w:t>—</w:t>
    </w:r>
    <w:r>
      <w:rPr>
        <w:rStyle w:val="a3"/>
        <w:sz w:val="28"/>
      </w:rPr>
      <w:fldChar w:fldCharType="begin"/>
    </w:r>
    <w:r>
      <w:rPr>
        <w:rStyle w:val="a3"/>
        <w:sz w:val="28"/>
      </w:rPr>
      <w:instrText xml:space="preserve">PAGE  </w:instrText>
    </w:r>
    <w:r>
      <w:rPr>
        <w:rStyle w:val="a3"/>
        <w:sz w:val="28"/>
      </w:rPr>
      <w:fldChar w:fldCharType="separate"/>
    </w:r>
    <w:r w:rsidR="003763B7">
      <w:rPr>
        <w:rStyle w:val="a3"/>
        <w:noProof/>
        <w:sz w:val="28"/>
      </w:rPr>
      <w:t>7</w:t>
    </w:r>
    <w:r>
      <w:rPr>
        <w:rStyle w:val="a3"/>
        <w:sz w:val="28"/>
      </w:rPr>
      <w:fldChar w:fldCharType="end"/>
    </w:r>
    <w:r>
      <w:rPr>
        <w:rStyle w:val="a3"/>
        <w:rFonts w:hint="eastAsia"/>
        <w:sz w:val="28"/>
      </w:rPr>
      <w:t>—</w:t>
    </w:r>
  </w:p>
  <w:p w:rsidR="00631DC0" w:rsidRDefault="00631DC0">
    <w:pPr>
      <w:pStyle w:val="a7"/>
      <w:tabs>
        <w:tab w:val="clear" w:pos="8306"/>
        <w:tab w:val="left" w:pos="9000"/>
        <w:tab w:val="right" w:pos="9180"/>
      </w:tabs>
      <w:ind w:right="360" w:firstLineChars="2600" w:firstLine="7280"/>
      <w:rPr>
        <w:rFonts w:ascii="仿宋_GB2312" w:eastAsia="仿宋_GB2312" w:hint="eastAsia"/>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DC0" w:rsidRDefault="00631DC0">
    <w:pPr>
      <w:pStyle w:val="a7"/>
      <w:ind w:firstLineChars="2700" w:firstLine="7560"/>
      <w:rPr>
        <w:rFonts w:ascii="仿宋_GB2312" w:hint="eastAsia"/>
        <w:sz w:val="28"/>
      </w:rPr>
    </w:pPr>
    <w:r>
      <w:rPr>
        <w:rFonts w:ascii="仿宋_GB2312" w:hint="eastAsia"/>
        <w:sz w:val="28"/>
      </w:rPr>
      <w:t>—</w:t>
    </w:r>
    <w:r>
      <w:rPr>
        <w:rFonts w:ascii="仿宋_GB2312" w:hint="eastAsia"/>
        <w:sz w:val="28"/>
      </w:rPr>
      <w:t xml:space="preserve">  </w:t>
    </w:r>
    <w:r>
      <w:rPr>
        <w:rFonts w:ascii="仿宋_GB2312"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576" w:rsidRDefault="00AB1576">
      <w:r>
        <w:separator/>
      </w:r>
    </w:p>
  </w:footnote>
  <w:footnote w:type="continuationSeparator" w:id="1">
    <w:p w:rsidR="00AB1576" w:rsidRDefault="00AB1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1D" w:rsidRDefault="004D3E1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1D" w:rsidRDefault="004D3E1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1D" w:rsidRDefault="004D3E1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cumentProtection w:edit="forms" w:enforcement="1" w:cryptProviderType="rsaFull" w:cryptAlgorithmClass="hash" w:cryptAlgorithmType="typeAny" w:cryptAlgorithmSid="4" w:cryptSpinCount="50000" w:hash="o+fTWxbpcqqNUkTjWcjf43xUG5A=" w:salt="ds0dEwMYFni9rWULu2mH/w=="/>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14140DFE-5B2D-4466-AE5E-876608A6EB44}" w:val="x40+OqEYglWJF6pNcPoSm3aHhBit5Rv9/X2zkLKrjbnVTdIueZ7ywfAs=CUD1Q8MG"/>
    <w:docVar w:name="DocumentID" w:val="{8731A3B9-BC38-4428-BBE4-A17FCB645408}"/>
    <w:docVar w:name="WM_UUID" w:val="b0520891-bd75-4b59-8988-50b2e44aa283"/>
  </w:docVars>
  <w:rsids>
    <w:rsidRoot w:val="00172A27"/>
    <w:rsid w:val="000D28A4"/>
    <w:rsid w:val="000E059A"/>
    <w:rsid w:val="000F746C"/>
    <w:rsid w:val="001129E0"/>
    <w:rsid w:val="001756F2"/>
    <w:rsid w:val="001A5F3A"/>
    <w:rsid w:val="00214185"/>
    <w:rsid w:val="00301898"/>
    <w:rsid w:val="003751C8"/>
    <w:rsid w:val="003763B7"/>
    <w:rsid w:val="004673BD"/>
    <w:rsid w:val="00474F02"/>
    <w:rsid w:val="004D3E1D"/>
    <w:rsid w:val="004F4581"/>
    <w:rsid w:val="0054764C"/>
    <w:rsid w:val="005650F0"/>
    <w:rsid w:val="00631DC0"/>
    <w:rsid w:val="006846C7"/>
    <w:rsid w:val="006C2052"/>
    <w:rsid w:val="006C3624"/>
    <w:rsid w:val="006D7CDF"/>
    <w:rsid w:val="007C1763"/>
    <w:rsid w:val="007D4DC3"/>
    <w:rsid w:val="00812D7C"/>
    <w:rsid w:val="00877EAC"/>
    <w:rsid w:val="00953CF4"/>
    <w:rsid w:val="00956FAF"/>
    <w:rsid w:val="00A46BBC"/>
    <w:rsid w:val="00A510A0"/>
    <w:rsid w:val="00AB1576"/>
    <w:rsid w:val="00AE1BB4"/>
    <w:rsid w:val="00B52270"/>
    <w:rsid w:val="00C37FE2"/>
    <w:rsid w:val="00C62B6A"/>
    <w:rsid w:val="00CE16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customStyle="1" w:styleId="javascript">
    <w:name w:val="javascript"/>
    <w:basedOn w:val="a0"/>
  </w:style>
  <w:style w:type="character" w:customStyle="1" w:styleId="bt1">
    <w:name w:val="bt1"/>
    <w:basedOn w:val="a0"/>
    <w:rPr>
      <w:rFonts w:ascii="Times New Roman,ˎ̥" w:hAnsi="Times New Roman,ˎ̥" w:hint="default"/>
      <w:color w:val="333333"/>
      <w:sz w:val="21"/>
      <w:szCs w:val="21"/>
    </w:rPr>
  </w:style>
  <w:style w:type="character" w:customStyle="1" w:styleId="Char">
    <w:name w:val="文档结构图 Char"/>
    <w:basedOn w:val="a0"/>
    <w:link w:val="a4"/>
    <w:rPr>
      <w:rFonts w:ascii="宋体"/>
      <w:kern w:val="2"/>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4">
    <w:name w:val="Document Map"/>
    <w:basedOn w:val="a"/>
    <w:link w:val="Char"/>
    <w:rPr>
      <w:rFonts w:ascii="宋体"/>
      <w:sz w:val="18"/>
      <w:szCs w:val="18"/>
    </w:rPr>
  </w:style>
  <w:style w:type="paragraph" w:styleId="a6">
    <w:name w:val="Block Text"/>
    <w:basedOn w:val="a"/>
    <w:pPr>
      <w:ind w:left="70" w:right="-719"/>
    </w:pPr>
    <w:rPr>
      <w:rFonts w:eastAsia="仿宋_GB2312"/>
      <w:sz w:val="32"/>
      <w:szCs w:val="20"/>
    </w:rPr>
  </w:style>
  <w:style w:type="paragraph" w:styleId="a7">
    <w:name w:val="footer"/>
    <w:basedOn w:val="a"/>
    <w:pPr>
      <w:tabs>
        <w:tab w:val="center" w:pos="4153"/>
        <w:tab w:val="right" w:pos="8306"/>
      </w:tabs>
      <w:snapToGrid w:val="0"/>
      <w:jc w:val="left"/>
    </w:pPr>
    <w:rPr>
      <w:sz w:val="18"/>
      <w:szCs w:val="18"/>
    </w:rPr>
  </w:style>
  <w:style w:type="paragraph" w:styleId="a8">
    <w:name w:val="Balloon Text"/>
    <w:basedOn w:val="a"/>
    <w:rPr>
      <w:sz w:val="18"/>
      <w:szCs w:val="18"/>
    </w:rPr>
  </w:style>
  <w:style w:type="paragraph" w:styleId="a9">
    <w:name w:val="Normal Indent"/>
    <w:basedOn w:val="a"/>
    <w:rsid w:val="001A5F3A"/>
    <w:pPr>
      <w:ind w:firstLine="420"/>
    </w:pPr>
    <w:rPr>
      <w:rFonts w:eastAsia="仿宋_GB2312"/>
      <w:sz w:val="32"/>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34892;&#25919;&#19979;&#34892;&#25991;.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行政下行文</Template>
  <TotalTime>0</TotalTime>
  <Pages>7</Pages>
  <Words>2566</Words>
  <Characters>187</Characters>
  <Application>Microsoft Office Word</Application>
  <DocSecurity>0</DocSecurity>
  <PresentationFormat/>
  <Lines>1</Lines>
  <Paragraphs>5</Paragraphs>
  <Slides>0</Slides>
  <Notes>0</Notes>
  <HiddenSlides>0</HiddenSlides>
  <MMClips>0</MMClips>
  <ScaleCrop>false</ScaleCrop>
  <Company>Microsoft</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毕东明</dc:creator>
  <cp:lastModifiedBy>王泓</cp:lastModifiedBy>
  <cp:revision>2</cp:revision>
  <cp:lastPrinted>2007-05-25T00:46:00Z</cp:lastPrinted>
  <dcterms:created xsi:type="dcterms:W3CDTF">2016-11-07T06:43:00Z</dcterms:created>
  <dcterms:modified xsi:type="dcterms:W3CDTF">2016-11-07T06:43:00Z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2052-8.1.0.3483</vt:lpwstr>
  </property>
</Properties>
</file>