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31FDD">
      <w:pPr>
        <w:spacing w:before="137" w:line="217" w:lineRule="auto"/>
        <w:ind w:left="776"/>
        <w:rPr>
          <w:rFonts w:ascii="宋体" w:hAnsi="宋体" w:eastAsia="宋体" w:cs="宋体"/>
          <w:sz w:val="37"/>
          <w:szCs w:val="37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4"/>
          <w:sz w:val="37"/>
          <w:szCs w:val="37"/>
        </w:rPr>
        <w:t>2026</w:t>
      </w:r>
      <w:r>
        <w:rPr>
          <w:rFonts w:ascii="宋体" w:hAnsi="宋体" w:eastAsia="宋体" w:cs="宋体"/>
          <w:spacing w:val="-76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7"/>
          <w:szCs w:val="37"/>
        </w:rPr>
        <w:t>年度上海市教育科学研究一般项目指南</w:t>
      </w:r>
    </w:p>
    <w:tbl>
      <w:tblPr>
        <w:tblStyle w:val="6"/>
        <w:tblW w:w="89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8162"/>
      </w:tblGrid>
      <w:tr w14:paraId="0B4E4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822" w:type="dxa"/>
            <w:vAlign w:val="top"/>
          </w:tcPr>
          <w:p w14:paraId="7A3C8E76">
            <w:pPr>
              <w:pStyle w:val="5"/>
              <w:spacing w:before="108" w:line="178" w:lineRule="auto"/>
              <w:ind w:left="372"/>
            </w:pPr>
            <w:r>
              <w:t>1</w:t>
            </w:r>
          </w:p>
        </w:tc>
        <w:tc>
          <w:tcPr>
            <w:tcW w:w="8162" w:type="dxa"/>
            <w:vAlign w:val="top"/>
          </w:tcPr>
          <w:p w14:paraId="78845B27">
            <w:pPr>
              <w:pStyle w:val="5"/>
              <w:spacing w:before="74" w:line="217" w:lineRule="auto"/>
              <w:ind w:left="123"/>
            </w:pPr>
            <w:r>
              <w:rPr>
                <w:spacing w:val="-2"/>
              </w:rPr>
              <w:t>高校学科专业动态调整机制研究</w:t>
            </w:r>
          </w:p>
        </w:tc>
      </w:tr>
      <w:tr w14:paraId="00C38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22" w:type="dxa"/>
            <w:vAlign w:val="top"/>
          </w:tcPr>
          <w:p w14:paraId="4582C88B">
            <w:pPr>
              <w:pStyle w:val="5"/>
              <w:spacing w:before="103" w:line="178" w:lineRule="auto"/>
              <w:ind w:left="366"/>
            </w:pPr>
            <w:r>
              <w:t>2</w:t>
            </w:r>
          </w:p>
        </w:tc>
        <w:tc>
          <w:tcPr>
            <w:tcW w:w="8162" w:type="dxa"/>
            <w:vAlign w:val="top"/>
          </w:tcPr>
          <w:p w14:paraId="15120644">
            <w:pPr>
              <w:pStyle w:val="5"/>
              <w:spacing w:before="69" w:line="217" w:lineRule="auto"/>
              <w:ind w:left="119"/>
            </w:pPr>
            <w:r>
              <w:rPr>
                <w:spacing w:val="-1"/>
              </w:rPr>
              <w:t>卓越工程师人才培养新范式与示范引领</w:t>
            </w:r>
          </w:p>
        </w:tc>
      </w:tr>
      <w:tr w14:paraId="66C8A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131E0804">
            <w:pPr>
              <w:pStyle w:val="5"/>
              <w:spacing w:before="105" w:line="179" w:lineRule="auto"/>
              <w:ind w:left="375"/>
            </w:pPr>
            <w:r>
              <w:t>3</w:t>
            </w:r>
          </w:p>
        </w:tc>
        <w:tc>
          <w:tcPr>
            <w:tcW w:w="8162" w:type="dxa"/>
            <w:vAlign w:val="top"/>
          </w:tcPr>
          <w:p w14:paraId="2CC49B29">
            <w:pPr>
              <w:pStyle w:val="5"/>
              <w:spacing w:before="70" w:line="217" w:lineRule="auto"/>
              <w:ind w:left="123"/>
            </w:pPr>
            <w:r>
              <w:rPr>
                <w:spacing w:val="-2"/>
              </w:rPr>
              <w:t>高校开展大学生日常主题教育体系化研究</w:t>
            </w:r>
          </w:p>
        </w:tc>
      </w:tr>
      <w:tr w14:paraId="47FBA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22" w:type="dxa"/>
            <w:vAlign w:val="top"/>
          </w:tcPr>
          <w:p w14:paraId="61B3DCE7">
            <w:pPr>
              <w:pStyle w:val="5"/>
              <w:spacing w:before="104" w:line="178" w:lineRule="auto"/>
              <w:ind w:left="365"/>
            </w:pPr>
            <w:r>
              <w:t>4</w:t>
            </w:r>
          </w:p>
        </w:tc>
        <w:tc>
          <w:tcPr>
            <w:tcW w:w="8162" w:type="dxa"/>
            <w:vAlign w:val="top"/>
          </w:tcPr>
          <w:p w14:paraId="39D8ED75">
            <w:pPr>
              <w:pStyle w:val="5"/>
              <w:spacing w:before="70" w:line="217" w:lineRule="auto"/>
              <w:ind w:left="119"/>
            </w:pPr>
            <w:r>
              <w:rPr>
                <w:spacing w:val="-1"/>
              </w:rPr>
              <w:t>上海高校学术创新能力影响因素及提升路径研究</w:t>
            </w:r>
          </w:p>
        </w:tc>
      </w:tr>
      <w:tr w14:paraId="79254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22" w:type="dxa"/>
            <w:vAlign w:val="top"/>
          </w:tcPr>
          <w:p w14:paraId="0F06CF03">
            <w:pPr>
              <w:pStyle w:val="5"/>
              <w:spacing w:before="109" w:line="176" w:lineRule="auto"/>
              <w:ind w:left="369"/>
            </w:pPr>
            <w:r>
              <w:t>5</w:t>
            </w:r>
          </w:p>
        </w:tc>
        <w:tc>
          <w:tcPr>
            <w:tcW w:w="8162" w:type="dxa"/>
            <w:vAlign w:val="top"/>
          </w:tcPr>
          <w:p w14:paraId="781F6913">
            <w:pPr>
              <w:pStyle w:val="5"/>
              <w:spacing w:before="70" w:line="217" w:lineRule="auto"/>
              <w:ind w:left="123"/>
            </w:pPr>
            <w:r>
              <w:rPr>
                <w:spacing w:val="-2"/>
              </w:rPr>
              <w:t>高校辅导员队伍培训体系研究</w:t>
            </w:r>
          </w:p>
        </w:tc>
      </w:tr>
      <w:tr w14:paraId="69ABE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2A68CCC4">
            <w:pPr>
              <w:pStyle w:val="5"/>
              <w:spacing w:before="107" w:line="179" w:lineRule="auto"/>
              <w:ind w:left="368"/>
            </w:pPr>
            <w:r>
              <w:t>6</w:t>
            </w:r>
          </w:p>
        </w:tc>
        <w:tc>
          <w:tcPr>
            <w:tcW w:w="8162" w:type="dxa"/>
            <w:vAlign w:val="top"/>
          </w:tcPr>
          <w:p w14:paraId="54EE2F52">
            <w:pPr>
              <w:pStyle w:val="5"/>
              <w:spacing w:before="72" w:line="216" w:lineRule="auto"/>
              <w:ind w:left="119"/>
            </w:pPr>
            <w:r>
              <w:rPr>
                <w:spacing w:val="-1"/>
              </w:rPr>
              <w:t>上海民办高校“双师型”教师产业适应性及其培育研究</w:t>
            </w:r>
          </w:p>
        </w:tc>
      </w:tr>
      <w:tr w14:paraId="799D8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6E7B3B27">
            <w:pPr>
              <w:pStyle w:val="5"/>
              <w:spacing w:before="110" w:line="176" w:lineRule="auto"/>
              <w:ind w:left="368"/>
            </w:pPr>
            <w:r>
              <w:t>7</w:t>
            </w:r>
          </w:p>
        </w:tc>
        <w:tc>
          <w:tcPr>
            <w:tcW w:w="8162" w:type="dxa"/>
            <w:vAlign w:val="top"/>
          </w:tcPr>
          <w:p w14:paraId="4CA32400">
            <w:pPr>
              <w:pStyle w:val="5"/>
              <w:spacing w:before="72" w:line="217" w:lineRule="auto"/>
              <w:ind w:left="113"/>
            </w:pPr>
            <w:r>
              <w:rPr>
                <w:spacing w:val="-1"/>
              </w:rPr>
              <w:t>教育强国建设背景下高校财务治理优化研究</w:t>
            </w:r>
          </w:p>
        </w:tc>
      </w:tr>
      <w:tr w14:paraId="6D222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22" w:type="dxa"/>
            <w:vAlign w:val="top"/>
          </w:tcPr>
          <w:p w14:paraId="5D7281A7">
            <w:pPr>
              <w:pStyle w:val="5"/>
              <w:spacing w:before="106" w:line="179" w:lineRule="auto"/>
              <w:ind w:left="368"/>
            </w:pPr>
            <w:r>
              <w:t>8</w:t>
            </w:r>
          </w:p>
        </w:tc>
        <w:tc>
          <w:tcPr>
            <w:tcW w:w="8162" w:type="dxa"/>
            <w:vAlign w:val="top"/>
          </w:tcPr>
          <w:p w14:paraId="16088BEC">
            <w:pPr>
              <w:pStyle w:val="5"/>
              <w:spacing w:before="71" w:line="216" w:lineRule="auto"/>
              <w:ind w:left="123"/>
            </w:pPr>
            <w:r>
              <w:rPr>
                <w:spacing w:val="-2"/>
              </w:rPr>
              <w:t>高校内部控制体系建设的操作指引研究</w:t>
            </w:r>
          </w:p>
        </w:tc>
      </w:tr>
      <w:tr w14:paraId="748E5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3F7D9BB3">
            <w:pPr>
              <w:pStyle w:val="5"/>
              <w:spacing w:before="107" w:line="179" w:lineRule="auto"/>
              <w:ind w:left="368"/>
            </w:pPr>
            <w:r>
              <w:t>9</w:t>
            </w:r>
          </w:p>
        </w:tc>
        <w:tc>
          <w:tcPr>
            <w:tcW w:w="8162" w:type="dxa"/>
            <w:vAlign w:val="top"/>
          </w:tcPr>
          <w:p w14:paraId="71743E67">
            <w:pPr>
              <w:pStyle w:val="5"/>
              <w:spacing w:before="73" w:line="217" w:lineRule="auto"/>
              <w:ind w:left="119"/>
            </w:pPr>
            <w:r>
              <w:rPr>
                <w:spacing w:val="-1"/>
              </w:rPr>
              <w:t>上海高校推进立德树人工程的重点难点研究</w:t>
            </w:r>
          </w:p>
        </w:tc>
      </w:tr>
      <w:tr w14:paraId="36E3D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22" w:type="dxa"/>
            <w:vAlign w:val="top"/>
          </w:tcPr>
          <w:p w14:paraId="3EB86C40">
            <w:pPr>
              <w:pStyle w:val="5"/>
              <w:spacing w:before="107" w:line="179" w:lineRule="auto"/>
              <w:ind w:left="312"/>
            </w:pPr>
            <w:r>
              <w:rPr>
                <w:spacing w:val="-7"/>
              </w:rPr>
              <w:t>10</w:t>
            </w:r>
          </w:p>
        </w:tc>
        <w:tc>
          <w:tcPr>
            <w:tcW w:w="8162" w:type="dxa"/>
            <w:vAlign w:val="top"/>
          </w:tcPr>
          <w:p w14:paraId="2E78C9FC">
            <w:pPr>
              <w:pStyle w:val="5"/>
              <w:spacing w:before="72" w:line="217" w:lineRule="auto"/>
              <w:ind w:left="110"/>
            </w:pPr>
            <w:r>
              <w:rPr>
                <w:spacing w:val="-1"/>
              </w:rPr>
              <w:t>促进创新素养培养的高校学生学业评价体系研究</w:t>
            </w:r>
          </w:p>
        </w:tc>
      </w:tr>
      <w:tr w14:paraId="5C2D1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161F7109">
            <w:pPr>
              <w:pStyle w:val="5"/>
              <w:spacing w:before="107" w:line="178" w:lineRule="auto"/>
              <w:ind w:left="312"/>
            </w:pPr>
            <w:r>
              <w:rPr>
                <w:spacing w:val="-7"/>
              </w:rPr>
              <w:t>11</w:t>
            </w:r>
          </w:p>
        </w:tc>
        <w:tc>
          <w:tcPr>
            <w:tcW w:w="8162" w:type="dxa"/>
            <w:vAlign w:val="top"/>
          </w:tcPr>
          <w:p w14:paraId="6C3BE4AD">
            <w:pPr>
              <w:pStyle w:val="5"/>
              <w:spacing w:before="73" w:line="218" w:lineRule="auto"/>
              <w:ind w:left="119"/>
            </w:pPr>
            <w:r>
              <w:rPr>
                <w:spacing w:val="-1"/>
              </w:rPr>
              <w:t>数智时代职业教育数字教材开发及应用研究</w:t>
            </w:r>
          </w:p>
        </w:tc>
      </w:tr>
      <w:tr w14:paraId="5E8F2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2CDC04CC">
            <w:pPr>
              <w:pStyle w:val="5"/>
              <w:spacing w:before="107" w:line="178" w:lineRule="auto"/>
              <w:ind w:left="312"/>
            </w:pPr>
            <w:r>
              <w:rPr>
                <w:spacing w:val="-7"/>
              </w:rPr>
              <w:t>12</w:t>
            </w:r>
          </w:p>
        </w:tc>
        <w:tc>
          <w:tcPr>
            <w:tcW w:w="8162" w:type="dxa"/>
            <w:vAlign w:val="top"/>
          </w:tcPr>
          <w:p w14:paraId="5E722B73">
            <w:pPr>
              <w:pStyle w:val="5"/>
              <w:spacing w:before="73" w:line="217" w:lineRule="auto"/>
              <w:ind w:left="123"/>
            </w:pPr>
            <w:r>
              <w:rPr>
                <w:spacing w:val="-2"/>
              </w:rPr>
              <w:t>高职思政链与产业链协同育人新机制研究</w:t>
            </w:r>
          </w:p>
        </w:tc>
      </w:tr>
      <w:tr w14:paraId="031AD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22" w:type="dxa"/>
            <w:vAlign w:val="top"/>
          </w:tcPr>
          <w:p w14:paraId="7502B608">
            <w:pPr>
              <w:pStyle w:val="5"/>
              <w:spacing w:before="107" w:line="179" w:lineRule="auto"/>
              <w:ind w:left="312"/>
            </w:pPr>
            <w:r>
              <w:rPr>
                <w:spacing w:val="-7"/>
              </w:rPr>
              <w:t>13</w:t>
            </w:r>
          </w:p>
        </w:tc>
        <w:tc>
          <w:tcPr>
            <w:tcW w:w="8162" w:type="dxa"/>
            <w:vAlign w:val="top"/>
          </w:tcPr>
          <w:p w14:paraId="42CF44C6">
            <w:pPr>
              <w:pStyle w:val="5"/>
              <w:spacing w:before="72" w:line="217" w:lineRule="auto"/>
              <w:ind w:left="113"/>
            </w:pPr>
            <w:r>
              <w:rPr>
                <w:spacing w:val="-1"/>
              </w:rPr>
              <w:t>AI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赋能中职实训课程技能培养的路径研究</w:t>
            </w:r>
          </w:p>
        </w:tc>
      </w:tr>
      <w:tr w14:paraId="6CF14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7C8C5027">
            <w:pPr>
              <w:pStyle w:val="5"/>
              <w:spacing w:before="107" w:line="178" w:lineRule="auto"/>
              <w:ind w:left="312"/>
            </w:pPr>
            <w:r>
              <w:rPr>
                <w:spacing w:val="-7"/>
              </w:rPr>
              <w:t>14</w:t>
            </w:r>
          </w:p>
        </w:tc>
        <w:tc>
          <w:tcPr>
            <w:tcW w:w="8162" w:type="dxa"/>
            <w:vAlign w:val="top"/>
          </w:tcPr>
          <w:p w14:paraId="4FCABE65">
            <w:pPr>
              <w:pStyle w:val="5"/>
              <w:spacing w:before="73" w:line="217" w:lineRule="auto"/>
              <w:ind w:left="141"/>
            </w:pPr>
            <w:r>
              <w:rPr>
                <w:spacing w:val="-3"/>
              </w:rPr>
              <w:t>中小学体育综合改革与治理机制研究</w:t>
            </w:r>
          </w:p>
        </w:tc>
      </w:tr>
      <w:tr w14:paraId="069FA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2B047817">
            <w:pPr>
              <w:pStyle w:val="5"/>
              <w:spacing w:before="108" w:line="179" w:lineRule="auto"/>
              <w:ind w:left="312"/>
            </w:pPr>
            <w:r>
              <w:rPr>
                <w:spacing w:val="-7"/>
              </w:rPr>
              <w:t>15</w:t>
            </w:r>
          </w:p>
        </w:tc>
        <w:tc>
          <w:tcPr>
            <w:tcW w:w="8162" w:type="dxa"/>
            <w:vAlign w:val="top"/>
          </w:tcPr>
          <w:p w14:paraId="10CEA7BE">
            <w:pPr>
              <w:pStyle w:val="5"/>
              <w:spacing w:before="73" w:line="218" w:lineRule="auto"/>
              <w:ind w:left="113"/>
            </w:pPr>
            <w:r>
              <w:rPr>
                <w:spacing w:val="-1"/>
              </w:rPr>
              <w:t>初中随班就读学生生涯教育理论与实践研究</w:t>
            </w:r>
          </w:p>
        </w:tc>
      </w:tr>
      <w:tr w14:paraId="1EE2B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2982C4C8">
            <w:pPr>
              <w:pStyle w:val="5"/>
              <w:spacing w:before="108" w:line="179" w:lineRule="auto"/>
              <w:ind w:left="312"/>
            </w:pPr>
            <w:r>
              <w:rPr>
                <w:spacing w:val="-7"/>
              </w:rPr>
              <w:t>16</w:t>
            </w:r>
          </w:p>
        </w:tc>
        <w:tc>
          <w:tcPr>
            <w:tcW w:w="8162" w:type="dxa"/>
            <w:vAlign w:val="top"/>
          </w:tcPr>
          <w:p w14:paraId="0DED451F">
            <w:pPr>
              <w:pStyle w:val="5"/>
              <w:spacing w:before="72" w:line="217" w:lineRule="auto"/>
              <w:ind w:left="113"/>
            </w:pPr>
            <w:r>
              <w:rPr>
                <w:spacing w:val="-1"/>
              </w:rPr>
              <w:t>构建基于绿色指标结果运用的区域教育质量保障体系</w:t>
            </w:r>
          </w:p>
        </w:tc>
      </w:tr>
      <w:tr w14:paraId="1459A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6BDE1C10">
            <w:pPr>
              <w:pStyle w:val="5"/>
              <w:spacing w:before="107" w:line="179" w:lineRule="auto"/>
              <w:ind w:left="312"/>
            </w:pPr>
            <w:r>
              <w:rPr>
                <w:spacing w:val="-7"/>
              </w:rPr>
              <w:t>17</w:t>
            </w:r>
          </w:p>
        </w:tc>
        <w:tc>
          <w:tcPr>
            <w:tcW w:w="8162" w:type="dxa"/>
            <w:vAlign w:val="top"/>
          </w:tcPr>
          <w:p w14:paraId="4EE1BD37">
            <w:pPr>
              <w:pStyle w:val="5"/>
              <w:spacing w:before="73" w:line="218" w:lineRule="auto"/>
              <w:ind w:left="129"/>
            </w:pPr>
            <w:r>
              <w:rPr>
                <w:spacing w:val="-1"/>
              </w:rPr>
              <w:t>“三类格局”常态化背景下民办基础教育提质扩优策略研究</w:t>
            </w:r>
          </w:p>
        </w:tc>
      </w:tr>
      <w:tr w14:paraId="7EDA3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6AD3BD69">
            <w:pPr>
              <w:pStyle w:val="5"/>
              <w:spacing w:before="107" w:line="179" w:lineRule="auto"/>
              <w:ind w:left="312"/>
            </w:pPr>
            <w:r>
              <w:rPr>
                <w:spacing w:val="-7"/>
              </w:rPr>
              <w:t>18</w:t>
            </w:r>
          </w:p>
        </w:tc>
        <w:tc>
          <w:tcPr>
            <w:tcW w:w="8162" w:type="dxa"/>
            <w:vAlign w:val="top"/>
          </w:tcPr>
          <w:p w14:paraId="010C2268">
            <w:pPr>
              <w:pStyle w:val="5"/>
              <w:spacing w:before="72" w:line="216" w:lineRule="auto"/>
              <w:ind w:left="129"/>
            </w:pPr>
            <w:r>
              <w:rPr>
                <w:spacing w:val="-1"/>
              </w:rPr>
              <w:t>“双新”背景下中小学生创造性思维的校本化培养机制研究</w:t>
            </w:r>
          </w:p>
        </w:tc>
      </w:tr>
      <w:tr w14:paraId="198BE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5D389EB9">
            <w:pPr>
              <w:pStyle w:val="5"/>
              <w:spacing w:before="107" w:line="179" w:lineRule="auto"/>
              <w:ind w:left="312"/>
            </w:pPr>
            <w:r>
              <w:rPr>
                <w:spacing w:val="-7"/>
              </w:rPr>
              <w:t>19</w:t>
            </w:r>
          </w:p>
        </w:tc>
        <w:tc>
          <w:tcPr>
            <w:tcW w:w="8162" w:type="dxa"/>
            <w:vAlign w:val="top"/>
          </w:tcPr>
          <w:p w14:paraId="255F37BD">
            <w:pPr>
              <w:pStyle w:val="5"/>
              <w:spacing w:before="72" w:line="216" w:lineRule="auto"/>
              <w:ind w:left="117"/>
            </w:pPr>
            <w:r>
              <w:rPr>
                <w:spacing w:val="-1"/>
              </w:rPr>
              <w:t>新时代上海对各区政府教育督政工作机制研究</w:t>
            </w:r>
          </w:p>
        </w:tc>
      </w:tr>
      <w:tr w14:paraId="00F6F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533F30EE">
            <w:pPr>
              <w:pStyle w:val="5"/>
              <w:spacing w:before="107" w:line="179" w:lineRule="auto"/>
              <w:ind w:left="306"/>
            </w:pPr>
            <w:r>
              <w:rPr>
                <w:spacing w:val="-5"/>
              </w:rPr>
              <w:t>20</w:t>
            </w:r>
          </w:p>
        </w:tc>
        <w:tc>
          <w:tcPr>
            <w:tcW w:w="8162" w:type="dxa"/>
            <w:vAlign w:val="top"/>
          </w:tcPr>
          <w:p w14:paraId="076AED90">
            <w:pPr>
              <w:pStyle w:val="5"/>
              <w:spacing w:before="72" w:line="218" w:lineRule="auto"/>
              <w:ind w:left="123"/>
            </w:pPr>
            <w:r>
              <w:rPr>
                <w:spacing w:val="-4"/>
              </w:rPr>
              <w:t>面向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2035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的上海老年教育创新发展路径研究</w:t>
            </w:r>
          </w:p>
        </w:tc>
      </w:tr>
      <w:tr w14:paraId="6F681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4EA0EFF7">
            <w:pPr>
              <w:pStyle w:val="5"/>
              <w:spacing w:before="106" w:line="178" w:lineRule="auto"/>
              <w:ind w:left="306"/>
            </w:pPr>
            <w:r>
              <w:rPr>
                <w:spacing w:val="-5"/>
              </w:rPr>
              <w:t>21</w:t>
            </w:r>
          </w:p>
        </w:tc>
        <w:tc>
          <w:tcPr>
            <w:tcW w:w="8162" w:type="dxa"/>
            <w:vAlign w:val="top"/>
          </w:tcPr>
          <w:p w14:paraId="08654F5F">
            <w:pPr>
              <w:pStyle w:val="5"/>
              <w:spacing w:before="71" w:line="217" w:lineRule="auto"/>
              <w:ind w:left="115"/>
            </w:pPr>
            <w:r>
              <w:rPr>
                <w:spacing w:val="-1"/>
              </w:rPr>
              <w:t>积极老龄观视域下的养老服务人才队伍建设研究</w:t>
            </w:r>
          </w:p>
        </w:tc>
      </w:tr>
      <w:tr w14:paraId="6C567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22" w:type="dxa"/>
            <w:vAlign w:val="top"/>
          </w:tcPr>
          <w:p w14:paraId="4E3B0FBD">
            <w:pPr>
              <w:pStyle w:val="5"/>
              <w:spacing w:before="106" w:line="178" w:lineRule="auto"/>
              <w:ind w:left="306"/>
            </w:pPr>
            <w:r>
              <w:rPr>
                <w:spacing w:val="-5"/>
              </w:rPr>
              <w:t>22</w:t>
            </w:r>
          </w:p>
        </w:tc>
        <w:tc>
          <w:tcPr>
            <w:tcW w:w="8162" w:type="dxa"/>
            <w:vAlign w:val="top"/>
          </w:tcPr>
          <w:p w14:paraId="0BBCED14">
            <w:pPr>
              <w:pStyle w:val="5"/>
              <w:spacing w:before="72" w:line="215" w:lineRule="auto"/>
              <w:ind w:left="114"/>
            </w:pPr>
            <w:r>
              <w:rPr>
                <w:spacing w:val="-1"/>
              </w:rPr>
              <w:t>终身学习视野下人智协同学习样态与内在机理研究</w:t>
            </w:r>
          </w:p>
        </w:tc>
      </w:tr>
      <w:tr w14:paraId="13311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22" w:type="dxa"/>
            <w:vAlign w:val="top"/>
          </w:tcPr>
          <w:p w14:paraId="6C21064A">
            <w:pPr>
              <w:pStyle w:val="5"/>
              <w:spacing w:before="107" w:line="179" w:lineRule="auto"/>
              <w:ind w:left="306"/>
            </w:pPr>
            <w:r>
              <w:rPr>
                <w:spacing w:val="-5"/>
              </w:rPr>
              <w:t>23</w:t>
            </w:r>
          </w:p>
        </w:tc>
        <w:tc>
          <w:tcPr>
            <w:tcW w:w="8162" w:type="dxa"/>
            <w:vAlign w:val="top"/>
          </w:tcPr>
          <w:p w14:paraId="52CA004E">
            <w:pPr>
              <w:pStyle w:val="5"/>
              <w:spacing w:before="72" w:line="216" w:lineRule="auto"/>
              <w:ind w:left="114"/>
            </w:pPr>
            <w:r>
              <w:rPr>
                <w:spacing w:val="-1"/>
              </w:rPr>
              <w:t>终身教育助力上海“五个中心”建设的战略布局与实施策略研究</w:t>
            </w:r>
          </w:p>
        </w:tc>
      </w:tr>
      <w:tr w14:paraId="21F9A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425339F8">
            <w:pPr>
              <w:pStyle w:val="5"/>
              <w:spacing w:before="108" w:line="178" w:lineRule="auto"/>
              <w:ind w:left="306"/>
            </w:pPr>
            <w:r>
              <w:rPr>
                <w:spacing w:val="-5"/>
              </w:rPr>
              <w:t>24</w:t>
            </w:r>
          </w:p>
        </w:tc>
        <w:tc>
          <w:tcPr>
            <w:tcW w:w="8162" w:type="dxa"/>
            <w:vAlign w:val="top"/>
          </w:tcPr>
          <w:p w14:paraId="5FB37C41">
            <w:pPr>
              <w:pStyle w:val="5"/>
              <w:spacing w:before="74" w:line="216" w:lineRule="auto"/>
              <w:ind w:left="115"/>
            </w:pPr>
            <w:r>
              <w:rPr>
                <w:spacing w:val="-1"/>
              </w:rPr>
              <w:t>人工智能赋能终身教育个性化资源配置机制研究</w:t>
            </w:r>
          </w:p>
        </w:tc>
      </w:tr>
      <w:tr w14:paraId="7BF6E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22" w:type="dxa"/>
            <w:vAlign w:val="top"/>
          </w:tcPr>
          <w:p w14:paraId="0D9D5C95">
            <w:pPr>
              <w:pStyle w:val="5"/>
              <w:spacing w:before="108" w:line="179" w:lineRule="auto"/>
              <w:ind w:left="306"/>
            </w:pPr>
            <w:r>
              <w:rPr>
                <w:spacing w:val="-5"/>
              </w:rPr>
              <w:t>25</w:t>
            </w:r>
          </w:p>
        </w:tc>
        <w:tc>
          <w:tcPr>
            <w:tcW w:w="8162" w:type="dxa"/>
            <w:vAlign w:val="top"/>
          </w:tcPr>
          <w:p w14:paraId="784B2D3F">
            <w:pPr>
              <w:pStyle w:val="5"/>
              <w:spacing w:before="74" w:line="218" w:lineRule="auto"/>
              <w:ind w:left="119"/>
            </w:pPr>
            <w:r>
              <w:rPr>
                <w:spacing w:val="-1"/>
              </w:rPr>
              <w:t>心理健康高风险学生特征及对策研究</w:t>
            </w:r>
          </w:p>
        </w:tc>
      </w:tr>
      <w:tr w14:paraId="588E7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399CFE69">
            <w:pPr>
              <w:pStyle w:val="5"/>
              <w:spacing w:before="109" w:line="179" w:lineRule="auto"/>
              <w:ind w:left="306"/>
            </w:pPr>
            <w:r>
              <w:rPr>
                <w:spacing w:val="-5"/>
              </w:rPr>
              <w:t>26</w:t>
            </w:r>
          </w:p>
        </w:tc>
        <w:tc>
          <w:tcPr>
            <w:tcW w:w="8162" w:type="dxa"/>
            <w:vAlign w:val="top"/>
          </w:tcPr>
          <w:p w14:paraId="5608EBF0">
            <w:pPr>
              <w:pStyle w:val="5"/>
              <w:spacing w:before="74" w:line="217" w:lineRule="auto"/>
              <w:ind w:left="113"/>
            </w:pPr>
            <w:r>
              <w:rPr>
                <w:spacing w:val="-1"/>
              </w:rPr>
              <w:t>教育强国背景下学校公共安全治理模式研究</w:t>
            </w:r>
          </w:p>
        </w:tc>
      </w:tr>
      <w:tr w14:paraId="506BC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7C53B99C">
            <w:pPr>
              <w:pStyle w:val="5"/>
              <w:spacing w:before="108" w:line="179" w:lineRule="auto"/>
              <w:ind w:left="306"/>
            </w:pPr>
            <w:r>
              <w:rPr>
                <w:spacing w:val="-5"/>
              </w:rPr>
              <w:t>27</w:t>
            </w:r>
          </w:p>
        </w:tc>
        <w:tc>
          <w:tcPr>
            <w:tcW w:w="8162" w:type="dxa"/>
            <w:vAlign w:val="top"/>
          </w:tcPr>
          <w:p w14:paraId="4D177D2C">
            <w:pPr>
              <w:pStyle w:val="5"/>
              <w:spacing w:before="74" w:line="217" w:lineRule="auto"/>
              <w:ind w:left="119"/>
            </w:pPr>
            <w:r>
              <w:rPr>
                <w:spacing w:val="-1"/>
              </w:rPr>
              <w:t>上海市语言人才供需适配机制研究</w:t>
            </w:r>
          </w:p>
        </w:tc>
      </w:tr>
      <w:tr w14:paraId="34DF5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22" w:type="dxa"/>
            <w:vAlign w:val="top"/>
          </w:tcPr>
          <w:p w14:paraId="479D4145">
            <w:pPr>
              <w:pStyle w:val="5"/>
              <w:spacing w:before="108" w:line="179" w:lineRule="auto"/>
              <w:ind w:left="306"/>
            </w:pPr>
            <w:r>
              <w:rPr>
                <w:spacing w:val="-5"/>
              </w:rPr>
              <w:t>28</w:t>
            </w:r>
          </w:p>
        </w:tc>
        <w:tc>
          <w:tcPr>
            <w:tcW w:w="8162" w:type="dxa"/>
            <w:vAlign w:val="top"/>
          </w:tcPr>
          <w:p w14:paraId="5A40E03A">
            <w:pPr>
              <w:pStyle w:val="5"/>
              <w:spacing w:before="73" w:line="217" w:lineRule="auto"/>
              <w:ind w:left="113"/>
            </w:pPr>
            <w:r>
              <w:rPr>
                <w:spacing w:val="-1"/>
              </w:rPr>
              <w:t>拔尖创新人才早期培养体系建设研究</w:t>
            </w:r>
          </w:p>
        </w:tc>
      </w:tr>
      <w:tr w14:paraId="74F04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22" w:type="dxa"/>
            <w:vAlign w:val="top"/>
          </w:tcPr>
          <w:p w14:paraId="20136287">
            <w:pPr>
              <w:pStyle w:val="5"/>
              <w:spacing w:before="109" w:line="179" w:lineRule="auto"/>
              <w:ind w:left="306"/>
            </w:pPr>
            <w:r>
              <w:rPr>
                <w:spacing w:val="-5"/>
              </w:rPr>
              <w:t>29</w:t>
            </w:r>
          </w:p>
        </w:tc>
        <w:tc>
          <w:tcPr>
            <w:tcW w:w="8162" w:type="dxa"/>
            <w:vAlign w:val="top"/>
          </w:tcPr>
          <w:p w14:paraId="31604EF1">
            <w:pPr>
              <w:pStyle w:val="5"/>
              <w:spacing w:before="74" w:line="216" w:lineRule="auto"/>
              <w:ind w:left="113"/>
            </w:pPr>
            <w:r>
              <w:rPr>
                <w:spacing w:val="-1"/>
              </w:rPr>
              <w:t>教育科技人才一体改革背景下一线攻坚团队党建引领作用研究</w:t>
            </w:r>
          </w:p>
        </w:tc>
      </w:tr>
      <w:tr w14:paraId="56FF0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822" w:type="dxa"/>
            <w:vAlign w:val="top"/>
          </w:tcPr>
          <w:p w14:paraId="0839D15C">
            <w:pPr>
              <w:pStyle w:val="5"/>
              <w:spacing w:before="133" w:line="179" w:lineRule="auto"/>
              <w:ind w:left="315"/>
            </w:pPr>
            <w:r>
              <w:rPr>
                <w:spacing w:val="-8"/>
              </w:rPr>
              <w:t>30</w:t>
            </w:r>
          </w:p>
        </w:tc>
        <w:tc>
          <w:tcPr>
            <w:tcW w:w="8162" w:type="dxa"/>
            <w:vAlign w:val="top"/>
          </w:tcPr>
          <w:p w14:paraId="6C9F8F23">
            <w:pPr>
              <w:pStyle w:val="5"/>
              <w:spacing w:before="98" w:line="218" w:lineRule="auto"/>
              <w:ind w:left="113"/>
            </w:pPr>
            <w:r>
              <w:rPr>
                <w:spacing w:val="-1"/>
              </w:rPr>
              <w:t>教育强国建设中语言育人的上海经验研究</w:t>
            </w:r>
          </w:p>
        </w:tc>
      </w:tr>
    </w:tbl>
    <w:p w14:paraId="2A0EB6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231CB"/>
    <w:rsid w:val="7B92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2025-05-20T07:21:00Z</dcterms:created>
  <dc:creator>AMY</dc:creator>
  <cp:lastModifiedBy>AMY</cp:lastModifiedBy>
  <dcterms:modified xsi:type="dcterms:W3CDTF">2025-05-20T07:22:36Z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429B2646B6D1467D918D89D189FAF5DB_11</vt:lpwstr>
  </property>
  <property fmtid="{D5CDD505-2E9C-101B-9397-08002B2CF9AE}" pid="4" name="KSOTemplateDocerSaveRecord">
    <vt:lpwstr>eyJoZGlkIjoiMGRmMjdlN2IxZTZlMDYwODAwNzYxYmUwMjMwNjNkOWUiLCJ1c2VySWQiOiI3NTMyODYzMDgifQ==</vt:lpwstr>
  </property>
</Properties>
</file>